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716D" w14:textId="77777777" w:rsidR="00916180" w:rsidRPr="003F5D96" w:rsidRDefault="00916180" w:rsidP="00916180">
      <w:pPr>
        <w:pStyle w:val="Heading2"/>
        <w:spacing w:line="312" w:lineRule="auto"/>
        <w:ind w:left="426"/>
        <w:jc w:val="right"/>
        <w:rPr>
          <w:rFonts w:ascii="Verdana" w:hAnsi="Verdana"/>
          <w:sz w:val="20"/>
        </w:rPr>
      </w:pPr>
      <w:r w:rsidRPr="00661F1B">
        <w:rPr>
          <w:noProof/>
          <w:sz w:val="20"/>
        </w:rPr>
        <w:drawing>
          <wp:inline distT="0" distB="0" distL="0" distR="0" wp14:anchorId="00BBEDFD" wp14:editId="44A5BBB5">
            <wp:extent cx="2051685" cy="8350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1685" cy="835025"/>
                    </a:xfrm>
                    <a:prstGeom prst="rect">
                      <a:avLst/>
                    </a:prstGeom>
                    <a:noFill/>
                    <a:ln>
                      <a:noFill/>
                    </a:ln>
                  </pic:spPr>
                </pic:pic>
              </a:graphicData>
            </a:graphic>
          </wp:inline>
        </w:drawing>
      </w:r>
    </w:p>
    <w:p w14:paraId="01A871C1" w14:textId="77777777" w:rsidR="00916180" w:rsidRPr="003F5D96" w:rsidRDefault="00916180" w:rsidP="00916180">
      <w:pPr>
        <w:ind w:right="-305"/>
        <w:rPr>
          <w:rFonts w:ascii="Verdana" w:hAnsi="Verdana"/>
          <w:b/>
          <w:sz w:val="20"/>
          <w:lang w:val="en-US"/>
        </w:rPr>
      </w:pPr>
      <w:r>
        <w:rPr>
          <w:rFonts w:ascii="Verdana" w:hAnsi="Verdana" w:cs="Arial"/>
          <w:b/>
          <w:sz w:val="20"/>
        </w:rPr>
        <w:t xml:space="preserve">Remuneration Committee - </w:t>
      </w:r>
      <w:r w:rsidRPr="003F5D96">
        <w:rPr>
          <w:rFonts w:ascii="Verdana" w:hAnsi="Verdana" w:cs="Arial"/>
          <w:i/>
          <w:sz w:val="20"/>
        </w:rPr>
        <w:t>Annual Remuneration Report</w:t>
      </w:r>
    </w:p>
    <w:p w14:paraId="3620ABB1" w14:textId="77777777" w:rsidR="00916180" w:rsidRPr="003F5D96" w:rsidRDefault="00916180" w:rsidP="00916180">
      <w:pPr>
        <w:spacing w:line="312" w:lineRule="auto"/>
        <w:jc w:val="both"/>
        <w:rPr>
          <w:rFonts w:ascii="Verdana" w:hAnsi="Verdana"/>
          <w:b/>
          <w:color w:val="FF0000"/>
          <w:sz w:val="20"/>
        </w:rPr>
      </w:pPr>
    </w:p>
    <w:p w14:paraId="1E677015" w14:textId="77777777" w:rsidR="00916180" w:rsidRPr="003F5D96" w:rsidRDefault="00916180" w:rsidP="00916180">
      <w:pPr>
        <w:rPr>
          <w:rFonts w:ascii="Verdana" w:hAnsi="Verdana"/>
          <w:b/>
          <w:sz w:val="20"/>
          <w:lang w:eastAsia="en-GB"/>
        </w:rPr>
      </w:pPr>
      <w:r w:rsidRPr="003F5D96">
        <w:rPr>
          <w:rFonts w:ascii="Verdana" w:hAnsi="Verdana"/>
          <w:b/>
          <w:sz w:val="20"/>
          <w:lang w:eastAsia="en-GB"/>
        </w:rPr>
        <w:t>1 INTRODUCTION</w:t>
      </w:r>
    </w:p>
    <w:p w14:paraId="01439F36" w14:textId="77777777" w:rsidR="00916180" w:rsidRPr="003F5D96" w:rsidRDefault="00916180" w:rsidP="00916180">
      <w:pPr>
        <w:rPr>
          <w:rFonts w:ascii="Verdana" w:hAnsi="Verdana"/>
          <w:sz w:val="20"/>
          <w:lang w:eastAsia="en-GB"/>
        </w:rPr>
      </w:pPr>
      <w:r w:rsidRPr="003F5D96">
        <w:rPr>
          <w:rFonts w:ascii="Verdana" w:hAnsi="Verdana"/>
          <w:sz w:val="20"/>
          <w:lang w:eastAsia="en-GB"/>
        </w:rPr>
        <w:t xml:space="preserve">The New City College’s Instrument &amp; Articles of Government define certain senior key personnel as Senior Post Holders (SPH) and provide that the appointment, grading, suspension, dismissal and determination of the pay and conditions of service of the holders of senior posts are matters for Governing Body (Article 3(e) refers). </w:t>
      </w:r>
    </w:p>
    <w:p w14:paraId="1A3F9C55" w14:textId="77777777" w:rsidR="00916180" w:rsidRPr="003F5D96" w:rsidRDefault="00916180" w:rsidP="00916180">
      <w:pPr>
        <w:rPr>
          <w:rFonts w:ascii="Verdana" w:hAnsi="Verdana"/>
          <w:sz w:val="20"/>
          <w:lang w:eastAsia="en-GB"/>
        </w:rPr>
      </w:pPr>
    </w:p>
    <w:p w14:paraId="155D27D3" w14:textId="77777777" w:rsidR="00916180" w:rsidRPr="003F5D96" w:rsidRDefault="00916180" w:rsidP="00916180">
      <w:pPr>
        <w:rPr>
          <w:rFonts w:ascii="Verdana" w:hAnsi="Verdana"/>
          <w:sz w:val="20"/>
          <w:lang w:eastAsia="en-GB"/>
        </w:rPr>
      </w:pPr>
      <w:r w:rsidRPr="003F5D96">
        <w:rPr>
          <w:rFonts w:ascii="Verdana" w:hAnsi="Verdana"/>
          <w:sz w:val="20"/>
          <w:lang w:eastAsia="en-GB"/>
        </w:rPr>
        <w:t>The college operates a committee structure and has a Remuneration Committee with Terms of Reference that state its objective as:</w:t>
      </w:r>
    </w:p>
    <w:p w14:paraId="31CD7872" w14:textId="77777777" w:rsidR="00916180" w:rsidRPr="003F5D96" w:rsidRDefault="00916180" w:rsidP="00916180">
      <w:pPr>
        <w:rPr>
          <w:rFonts w:ascii="Verdana" w:hAnsi="Verdana"/>
          <w:sz w:val="20"/>
          <w:lang w:eastAsia="en-GB"/>
        </w:rPr>
      </w:pPr>
    </w:p>
    <w:p w14:paraId="329284BE" w14:textId="77777777" w:rsidR="00916180" w:rsidRPr="003F5D96" w:rsidRDefault="00916180" w:rsidP="00916180">
      <w:pPr>
        <w:rPr>
          <w:rFonts w:ascii="Verdana" w:hAnsi="Verdana"/>
          <w:sz w:val="20"/>
          <w:lang w:eastAsia="en-GB"/>
        </w:rPr>
      </w:pPr>
      <w:r w:rsidRPr="003F5D96">
        <w:rPr>
          <w:rFonts w:ascii="Verdana" w:hAnsi="Verdana"/>
          <w:sz w:val="20"/>
          <w:lang w:eastAsia="en-GB"/>
        </w:rPr>
        <w:t>To consider the terms, conditions, performance and pay of the Group Principal &amp; CEO, any designated SPHs and the Director of Governance); and to make recommendations to Corporation as appropriate.</w:t>
      </w:r>
    </w:p>
    <w:p w14:paraId="39FB4E9E" w14:textId="77777777" w:rsidR="00916180" w:rsidRPr="003F5D96" w:rsidRDefault="00916180" w:rsidP="00916180">
      <w:pPr>
        <w:rPr>
          <w:rFonts w:ascii="Verdana" w:hAnsi="Verdana"/>
          <w:sz w:val="20"/>
          <w:lang w:eastAsia="en-GB"/>
        </w:rPr>
      </w:pPr>
    </w:p>
    <w:p w14:paraId="7903E092" w14:textId="77777777" w:rsidR="00916180" w:rsidRPr="003F5D96" w:rsidRDefault="00916180" w:rsidP="00916180">
      <w:pPr>
        <w:rPr>
          <w:rFonts w:ascii="Verdana" w:hAnsi="Verdana"/>
          <w:sz w:val="20"/>
          <w:lang w:eastAsia="en-GB"/>
        </w:rPr>
      </w:pPr>
      <w:r w:rsidRPr="003F5D96">
        <w:rPr>
          <w:rFonts w:ascii="Verdana" w:hAnsi="Verdana"/>
          <w:sz w:val="20"/>
          <w:lang w:eastAsia="en-GB"/>
        </w:rPr>
        <w:t xml:space="preserve">The </w:t>
      </w:r>
      <w:proofErr w:type="spellStart"/>
      <w:r w:rsidRPr="003F5D96">
        <w:rPr>
          <w:rFonts w:ascii="Verdana" w:hAnsi="Verdana"/>
          <w:sz w:val="20"/>
          <w:lang w:eastAsia="en-GB"/>
        </w:rPr>
        <w:t>AoC</w:t>
      </w:r>
      <w:proofErr w:type="spellEnd"/>
      <w:r w:rsidRPr="003F5D96">
        <w:rPr>
          <w:rFonts w:ascii="Verdana" w:hAnsi="Verdana"/>
          <w:sz w:val="20"/>
          <w:lang w:eastAsia="en-GB"/>
        </w:rPr>
        <w:t xml:space="preserve"> Code includes the requirement that the college must publish a readily accessible annual statement, based on an annual report to its governing body. The purpose of this report is to address that requirement.</w:t>
      </w:r>
    </w:p>
    <w:p w14:paraId="24CB290B" w14:textId="77777777" w:rsidR="00916180" w:rsidRPr="003F5D96" w:rsidRDefault="00916180" w:rsidP="00916180">
      <w:pPr>
        <w:rPr>
          <w:rFonts w:ascii="Verdana" w:hAnsi="Verdana"/>
          <w:sz w:val="20"/>
          <w:lang w:eastAsia="en-GB"/>
        </w:rPr>
      </w:pPr>
    </w:p>
    <w:p w14:paraId="20F242F8" w14:textId="77777777" w:rsidR="00916180" w:rsidRPr="003F5D96" w:rsidRDefault="00916180" w:rsidP="00916180">
      <w:pPr>
        <w:rPr>
          <w:rFonts w:ascii="Verdana" w:hAnsi="Verdana"/>
          <w:b/>
          <w:sz w:val="20"/>
          <w:lang w:eastAsia="en-GB"/>
        </w:rPr>
      </w:pPr>
      <w:r w:rsidRPr="003F5D96">
        <w:rPr>
          <w:rFonts w:ascii="Verdana" w:hAnsi="Verdana"/>
          <w:b/>
          <w:sz w:val="20"/>
          <w:lang w:eastAsia="en-GB"/>
        </w:rPr>
        <w:t xml:space="preserve">2 STRATEGIC </w:t>
      </w:r>
      <w:proofErr w:type="gramStart"/>
      <w:r w:rsidRPr="003F5D96">
        <w:rPr>
          <w:rFonts w:ascii="Verdana" w:hAnsi="Verdana"/>
          <w:b/>
          <w:sz w:val="20"/>
          <w:lang w:eastAsia="en-GB"/>
        </w:rPr>
        <w:t>CONTEXT</w:t>
      </w:r>
      <w:proofErr w:type="gramEnd"/>
    </w:p>
    <w:p w14:paraId="08FFF1DF" w14:textId="77777777" w:rsidR="00916180" w:rsidRPr="003F5D96" w:rsidRDefault="00916180" w:rsidP="00916180">
      <w:pPr>
        <w:rPr>
          <w:rFonts w:ascii="Verdana" w:hAnsi="Verdana"/>
          <w:sz w:val="20"/>
          <w:lang w:eastAsia="en-GB"/>
        </w:rPr>
      </w:pPr>
      <w:r w:rsidRPr="003F5D96">
        <w:rPr>
          <w:rFonts w:ascii="Verdana" w:hAnsi="Verdana"/>
          <w:sz w:val="20"/>
          <w:lang w:eastAsia="en-GB"/>
        </w:rPr>
        <w:t>By visibly adopting this Remuneration Code, the Governing Body is demonstrating leadership and stewardship in relation to remuneration within its institution and, in doing so help to protect institutional and sector reputation and provide greater assurances to key stakeholders and partners, including the student community and wider society.</w:t>
      </w:r>
    </w:p>
    <w:p w14:paraId="5DEEC051" w14:textId="77777777" w:rsidR="00916180" w:rsidRPr="003F5D96" w:rsidRDefault="00916180" w:rsidP="00916180">
      <w:pPr>
        <w:tabs>
          <w:tab w:val="left" w:pos="567"/>
        </w:tabs>
        <w:autoSpaceDE w:val="0"/>
        <w:autoSpaceDN w:val="0"/>
        <w:adjustRightInd w:val="0"/>
        <w:spacing w:line="312" w:lineRule="auto"/>
        <w:ind w:left="567" w:hanging="425"/>
        <w:rPr>
          <w:rFonts w:ascii="Verdana" w:hAnsi="Verdana" w:cs="Helvetica-Bold"/>
          <w:bCs/>
          <w:sz w:val="20"/>
          <w:lang w:eastAsia="en-GB"/>
        </w:rPr>
      </w:pPr>
    </w:p>
    <w:p w14:paraId="2B54C822" w14:textId="77777777" w:rsidR="00916180" w:rsidRPr="003F5D96" w:rsidRDefault="00916180" w:rsidP="00916180">
      <w:pPr>
        <w:tabs>
          <w:tab w:val="left" w:pos="567"/>
        </w:tabs>
        <w:autoSpaceDE w:val="0"/>
        <w:autoSpaceDN w:val="0"/>
        <w:adjustRightInd w:val="0"/>
        <w:spacing w:line="312" w:lineRule="auto"/>
        <w:ind w:left="567" w:hanging="425"/>
        <w:rPr>
          <w:rFonts w:ascii="Verdana" w:hAnsi="Verdana" w:cs="Helvetica-Bold"/>
          <w:b/>
          <w:bCs/>
          <w:sz w:val="20"/>
          <w:lang w:eastAsia="en-GB"/>
        </w:rPr>
      </w:pPr>
      <w:r w:rsidRPr="003F5D96">
        <w:rPr>
          <w:rFonts w:ascii="Verdana" w:hAnsi="Verdana" w:cs="Helvetica-Bold"/>
          <w:b/>
          <w:bCs/>
          <w:sz w:val="20"/>
          <w:lang w:eastAsia="en-GB"/>
        </w:rPr>
        <w:t>3 PROCESS/POLICY</w:t>
      </w:r>
    </w:p>
    <w:p w14:paraId="6E8E789F" w14:textId="77777777" w:rsidR="00916180" w:rsidRPr="003F5D96" w:rsidRDefault="00916180" w:rsidP="00916180">
      <w:pPr>
        <w:tabs>
          <w:tab w:val="left" w:pos="567"/>
        </w:tabs>
        <w:autoSpaceDE w:val="0"/>
        <w:autoSpaceDN w:val="0"/>
        <w:adjustRightInd w:val="0"/>
        <w:spacing w:line="312" w:lineRule="auto"/>
        <w:ind w:left="567" w:hanging="425"/>
        <w:rPr>
          <w:rFonts w:ascii="Verdana" w:hAnsi="Verdana" w:cs="Helvetica-Bold"/>
          <w:bCs/>
          <w:sz w:val="20"/>
          <w:u w:val="single"/>
          <w:lang w:eastAsia="en-GB"/>
        </w:rPr>
      </w:pPr>
      <w:r w:rsidRPr="003F5D96">
        <w:rPr>
          <w:rFonts w:ascii="Verdana" w:hAnsi="Verdana" w:cs="Helvetica-Bold"/>
          <w:bCs/>
          <w:sz w:val="20"/>
          <w:u w:val="single"/>
          <w:lang w:eastAsia="en-GB"/>
        </w:rPr>
        <w:t>Remuneration process</w:t>
      </w:r>
    </w:p>
    <w:p w14:paraId="6AB65569" w14:textId="77777777" w:rsidR="00916180" w:rsidRDefault="00916180" w:rsidP="00916180">
      <w:pPr>
        <w:tabs>
          <w:tab w:val="left" w:pos="567"/>
        </w:tabs>
        <w:autoSpaceDE w:val="0"/>
        <w:autoSpaceDN w:val="0"/>
        <w:adjustRightInd w:val="0"/>
        <w:spacing w:line="312" w:lineRule="auto"/>
        <w:ind w:left="567" w:hanging="425"/>
        <w:rPr>
          <w:rFonts w:ascii="Verdana" w:hAnsi="Verdana" w:cs="Helvetica-Bold"/>
          <w:bCs/>
          <w:sz w:val="20"/>
          <w:lang w:eastAsia="en-GB"/>
        </w:rPr>
      </w:pPr>
      <w:r w:rsidRPr="003F5D96">
        <w:rPr>
          <w:rFonts w:ascii="Verdana" w:hAnsi="Verdana" w:cs="Helvetica-Bold"/>
          <w:bCs/>
          <w:sz w:val="20"/>
          <w:lang w:eastAsia="en-GB"/>
        </w:rPr>
        <w:t xml:space="preserve">The College’s Remuneration Committee met on </w:t>
      </w:r>
      <w:r>
        <w:rPr>
          <w:rFonts w:ascii="Verdana" w:hAnsi="Verdana" w:cs="Helvetica-Bold"/>
          <w:bCs/>
          <w:sz w:val="20"/>
          <w:lang w:eastAsia="en-GB"/>
        </w:rPr>
        <w:t xml:space="preserve">16 </w:t>
      </w:r>
      <w:r w:rsidRPr="003F5D96">
        <w:rPr>
          <w:rFonts w:ascii="Verdana" w:hAnsi="Verdana" w:cs="Helvetica-Bold"/>
          <w:bCs/>
          <w:sz w:val="20"/>
          <w:lang w:eastAsia="en-GB"/>
        </w:rPr>
        <w:t>November 20</w:t>
      </w:r>
      <w:r>
        <w:rPr>
          <w:rFonts w:ascii="Verdana" w:hAnsi="Verdana" w:cs="Helvetica-Bold"/>
          <w:bCs/>
          <w:sz w:val="20"/>
          <w:lang w:eastAsia="en-GB"/>
        </w:rPr>
        <w:t>23, 13 March 2024 and 27 June 2024.</w:t>
      </w:r>
    </w:p>
    <w:p w14:paraId="6FF77B7A" w14:textId="77777777" w:rsidR="00916180" w:rsidRDefault="00916180" w:rsidP="00916180">
      <w:pPr>
        <w:tabs>
          <w:tab w:val="left" w:pos="567"/>
        </w:tabs>
        <w:autoSpaceDE w:val="0"/>
        <w:autoSpaceDN w:val="0"/>
        <w:adjustRightInd w:val="0"/>
        <w:spacing w:line="312" w:lineRule="auto"/>
        <w:ind w:left="567" w:hanging="425"/>
        <w:rPr>
          <w:rFonts w:ascii="Verdana" w:hAnsi="Verdana" w:cs="Helvetica-Bold"/>
          <w:bCs/>
          <w:sz w:val="20"/>
          <w:lang w:eastAsia="en-GB"/>
        </w:rPr>
      </w:pPr>
    </w:p>
    <w:p w14:paraId="0448EB77" w14:textId="77777777" w:rsidR="00916180" w:rsidRDefault="00916180" w:rsidP="00916180">
      <w:pPr>
        <w:tabs>
          <w:tab w:val="left" w:pos="567"/>
        </w:tabs>
        <w:autoSpaceDE w:val="0"/>
        <w:autoSpaceDN w:val="0"/>
        <w:adjustRightInd w:val="0"/>
        <w:spacing w:line="312" w:lineRule="auto"/>
        <w:ind w:left="567" w:hanging="425"/>
        <w:rPr>
          <w:rFonts w:ascii="Verdana" w:hAnsi="Verdana" w:cs="Helvetica-Bold"/>
          <w:bCs/>
          <w:sz w:val="20"/>
          <w:lang w:eastAsia="en-GB"/>
        </w:rPr>
      </w:pPr>
      <w:r>
        <w:rPr>
          <w:rFonts w:ascii="Verdana" w:hAnsi="Verdana" w:cs="Helvetica-Bold"/>
          <w:bCs/>
          <w:sz w:val="20"/>
          <w:lang w:eastAsia="en-GB"/>
        </w:rPr>
        <w:t>The role of the committee is to:</w:t>
      </w:r>
    </w:p>
    <w:p w14:paraId="7C7DD652" w14:textId="77777777" w:rsidR="00916180" w:rsidRDefault="00916180" w:rsidP="00916180">
      <w:pPr>
        <w:tabs>
          <w:tab w:val="left" w:pos="567"/>
        </w:tabs>
        <w:autoSpaceDE w:val="0"/>
        <w:autoSpaceDN w:val="0"/>
        <w:adjustRightInd w:val="0"/>
        <w:spacing w:line="312" w:lineRule="auto"/>
        <w:ind w:left="567" w:hanging="425"/>
        <w:rPr>
          <w:rFonts w:ascii="Verdana" w:hAnsi="Verdana" w:cs="Helvetica-Bold"/>
          <w:bCs/>
          <w:sz w:val="20"/>
          <w:lang w:eastAsia="en-GB"/>
        </w:rPr>
      </w:pPr>
    </w:p>
    <w:p w14:paraId="0293FA6F" w14:textId="77777777" w:rsidR="00916180" w:rsidRPr="00921AC1" w:rsidRDefault="00916180" w:rsidP="00916180">
      <w:pPr>
        <w:pStyle w:val="ListParagraph"/>
        <w:numPr>
          <w:ilvl w:val="0"/>
          <w:numId w:val="3"/>
        </w:numPr>
        <w:tabs>
          <w:tab w:val="left" w:pos="567"/>
        </w:tabs>
        <w:autoSpaceDE w:val="0"/>
        <w:autoSpaceDN w:val="0"/>
        <w:adjustRightInd w:val="0"/>
        <w:spacing w:line="312" w:lineRule="auto"/>
        <w:rPr>
          <w:rFonts w:cs="Helvetica-Bold"/>
          <w:bCs/>
        </w:rPr>
      </w:pPr>
      <w:r w:rsidRPr="00921AC1">
        <w:rPr>
          <w:rFonts w:cs="Helvetica-Bold"/>
          <w:bCs/>
        </w:rPr>
        <w:t xml:space="preserve">To discuss and agree SPH targets </w:t>
      </w:r>
    </w:p>
    <w:p w14:paraId="01FB2482" w14:textId="77777777" w:rsidR="00916180" w:rsidRPr="000D06BC" w:rsidRDefault="00916180" w:rsidP="00916180">
      <w:pPr>
        <w:numPr>
          <w:ilvl w:val="0"/>
          <w:numId w:val="1"/>
        </w:numPr>
        <w:tabs>
          <w:tab w:val="left" w:pos="567"/>
        </w:tabs>
        <w:autoSpaceDE w:val="0"/>
        <w:autoSpaceDN w:val="0"/>
        <w:adjustRightInd w:val="0"/>
        <w:spacing w:line="312" w:lineRule="auto"/>
        <w:rPr>
          <w:rFonts w:ascii="Verdana" w:hAnsi="Verdana" w:cs="Helvetica-Bold"/>
          <w:bCs/>
          <w:sz w:val="20"/>
          <w:lang w:eastAsia="en-GB"/>
        </w:rPr>
      </w:pPr>
      <w:r w:rsidRPr="003F5D96">
        <w:rPr>
          <w:rFonts w:ascii="Verdana" w:hAnsi="Verdana" w:cs="Helvetica-Bold"/>
          <w:bCs/>
          <w:sz w:val="20"/>
          <w:lang w:eastAsia="en-GB"/>
        </w:rPr>
        <w:t xml:space="preserve">To discuss and </w:t>
      </w:r>
      <w:r>
        <w:rPr>
          <w:rFonts w:ascii="Verdana" w:hAnsi="Verdana" w:cs="Helvetica-Bold"/>
          <w:bCs/>
          <w:sz w:val="20"/>
          <w:lang w:eastAsia="en-GB"/>
        </w:rPr>
        <w:t>review</w:t>
      </w:r>
      <w:r w:rsidRPr="003F5D96">
        <w:rPr>
          <w:rFonts w:ascii="Verdana" w:hAnsi="Verdana" w:cs="Helvetica-Bold"/>
          <w:bCs/>
          <w:sz w:val="20"/>
          <w:lang w:eastAsia="en-GB"/>
        </w:rPr>
        <w:t xml:space="preserve"> SPH performance </w:t>
      </w:r>
      <w:r>
        <w:rPr>
          <w:rFonts w:ascii="Verdana" w:hAnsi="Verdana" w:cs="Helvetica-Bold"/>
          <w:bCs/>
          <w:sz w:val="20"/>
          <w:lang w:eastAsia="en-GB"/>
        </w:rPr>
        <w:t>against</w:t>
      </w:r>
      <w:r w:rsidRPr="003F5D96">
        <w:rPr>
          <w:rFonts w:ascii="Verdana" w:hAnsi="Verdana" w:cs="Helvetica-Bold"/>
          <w:bCs/>
          <w:sz w:val="20"/>
          <w:lang w:eastAsia="en-GB"/>
        </w:rPr>
        <w:t xml:space="preserve"> targets </w:t>
      </w:r>
    </w:p>
    <w:p w14:paraId="1AB43AD7" w14:textId="77777777" w:rsidR="00916180" w:rsidRPr="000D06BC" w:rsidRDefault="00916180" w:rsidP="00916180">
      <w:pPr>
        <w:numPr>
          <w:ilvl w:val="0"/>
          <w:numId w:val="1"/>
        </w:numPr>
        <w:tabs>
          <w:tab w:val="left" w:pos="567"/>
        </w:tabs>
        <w:autoSpaceDE w:val="0"/>
        <w:autoSpaceDN w:val="0"/>
        <w:adjustRightInd w:val="0"/>
        <w:spacing w:line="312" w:lineRule="auto"/>
        <w:rPr>
          <w:rFonts w:ascii="Verdana" w:hAnsi="Verdana" w:cs="Helvetica-Bold"/>
          <w:bCs/>
          <w:sz w:val="20"/>
          <w:lang w:eastAsia="en-GB"/>
        </w:rPr>
      </w:pPr>
      <w:r w:rsidRPr="000D06BC">
        <w:rPr>
          <w:rFonts w:ascii="Verdana" w:hAnsi="Verdana" w:cs="Helvetica-Bold"/>
          <w:bCs/>
          <w:sz w:val="20"/>
          <w:lang w:eastAsia="en-GB"/>
        </w:rPr>
        <w:t xml:space="preserve">To review remuneration of those staff within its remit and </w:t>
      </w:r>
      <w:r>
        <w:rPr>
          <w:rFonts w:ascii="Verdana" w:hAnsi="Verdana" w:cs="Helvetica-Bold"/>
          <w:bCs/>
          <w:sz w:val="20"/>
          <w:lang w:eastAsia="en-GB"/>
        </w:rPr>
        <w:t xml:space="preserve">to </w:t>
      </w:r>
      <w:r w:rsidRPr="000D06BC">
        <w:rPr>
          <w:rFonts w:ascii="Verdana" w:hAnsi="Verdana" w:cs="Helvetica-Bold"/>
          <w:bCs/>
          <w:sz w:val="20"/>
          <w:lang w:eastAsia="en-GB"/>
        </w:rPr>
        <w:t xml:space="preserve">determine any changes to SPH pay </w:t>
      </w:r>
    </w:p>
    <w:p w14:paraId="0F4209A5" w14:textId="77777777" w:rsidR="00916180" w:rsidRPr="003F5D96" w:rsidRDefault="00916180" w:rsidP="00916180">
      <w:pPr>
        <w:tabs>
          <w:tab w:val="left" w:pos="567"/>
        </w:tabs>
        <w:autoSpaceDE w:val="0"/>
        <w:autoSpaceDN w:val="0"/>
        <w:adjustRightInd w:val="0"/>
        <w:spacing w:line="312" w:lineRule="auto"/>
        <w:rPr>
          <w:rFonts w:ascii="Verdana" w:hAnsi="Verdana" w:cs="Helvetica-Bold"/>
          <w:bCs/>
          <w:sz w:val="20"/>
          <w:u w:val="single"/>
          <w:lang w:eastAsia="en-GB"/>
        </w:rPr>
      </w:pPr>
    </w:p>
    <w:p w14:paraId="7378ABF8" w14:textId="77777777" w:rsidR="00916180" w:rsidRDefault="00916180" w:rsidP="00916180">
      <w:pPr>
        <w:tabs>
          <w:tab w:val="left" w:pos="567"/>
        </w:tabs>
        <w:autoSpaceDE w:val="0"/>
        <w:autoSpaceDN w:val="0"/>
        <w:adjustRightInd w:val="0"/>
        <w:spacing w:line="312" w:lineRule="auto"/>
        <w:ind w:left="567" w:hanging="425"/>
        <w:rPr>
          <w:rFonts w:ascii="Verdana" w:hAnsi="Verdana" w:cs="Helvetica-Bold"/>
          <w:bCs/>
          <w:sz w:val="20"/>
          <w:u w:val="single"/>
          <w:lang w:eastAsia="en-GB"/>
        </w:rPr>
      </w:pPr>
      <w:r w:rsidRPr="003F5D96">
        <w:rPr>
          <w:rFonts w:ascii="Verdana" w:hAnsi="Verdana" w:cs="Helvetica-Bold"/>
          <w:bCs/>
          <w:sz w:val="20"/>
          <w:u w:val="single"/>
          <w:lang w:eastAsia="en-GB"/>
        </w:rPr>
        <w:t>Committee Membership</w:t>
      </w:r>
    </w:p>
    <w:p w14:paraId="776A4FA9" w14:textId="77777777" w:rsidR="00916180" w:rsidRDefault="00916180" w:rsidP="00916180">
      <w:pPr>
        <w:tabs>
          <w:tab w:val="left" w:pos="567"/>
        </w:tabs>
        <w:autoSpaceDE w:val="0"/>
        <w:autoSpaceDN w:val="0"/>
        <w:adjustRightInd w:val="0"/>
        <w:spacing w:line="312" w:lineRule="auto"/>
        <w:ind w:left="567" w:hanging="425"/>
        <w:rPr>
          <w:rFonts w:ascii="Verdana" w:hAnsi="Verdana" w:cs="Helvetica-Bold"/>
          <w:bCs/>
          <w:sz w:val="20"/>
          <w:u w:val="single"/>
          <w:lang w:eastAsia="en-GB"/>
        </w:rPr>
      </w:pPr>
    </w:p>
    <w:p w14:paraId="447F0F4A" w14:textId="77777777" w:rsidR="00916180" w:rsidRDefault="00916180" w:rsidP="00916180">
      <w:pPr>
        <w:tabs>
          <w:tab w:val="left" w:pos="567"/>
        </w:tabs>
        <w:autoSpaceDE w:val="0"/>
        <w:autoSpaceDN w:val="0"/>
        <w:adjustRightInd w:val="0"/>
        <w:spacing w:line="312" w:lineRule="auto"/>
        <w:ind w:left="567" w:hanging="425"/>
        <w:rPr>
          <w:rFonts w:ascii="Verdana" w:hAnsi="Verdana" w:cs="Helvetica-Bold"/>
          <w:bCs/>
          <w:sz w:val="20"/>
          <w:lang w:eastAsia="en-GB"/>
        </w:rPr>
      </w:pPr>
      <w:r w:rsidRPr="003F5D96">
        <w:rPr>
          <w:rFonts w:ascii="Verdana" w:hAnsi="Verdana" w:cs="Helvetica-Bold"/>
          <w:bCs/>
          <w:sz w:val="20"/>
          <w:lang w:eastAsia="en-GB"/>
        </w:rPr>
        <w:t>The following tables sets out the membership of the committee and attendance for 20</w:t>
      </w:r>
      <w:r>
        <w:rPr>
          <w:rFonts w:ascii="Verdana" w:hAnsi="Verdana" w:cs="Helvetica-Bold"/>
          <w:bCs/>
          <w:sz w:val="20"/>
          <w:lang w:eastAsia="en-GB"/>
        </w:rPr>
        <w:t>23</w:t>
      </w:r>
      <w:r w:rsidRPr="003F5D96">
        <w:rPr>
          <w:rFonts w:ascii="Verdana" w:hAnsi="Verdana" w:cs="Helvetica-Bold"/>
          <w:bCs/>
          <w:sz w:val="20"/>
          <w:lang w:eastAsia="en-GB"/>
        </w:rPr>
        <w:t>-2</w:t>
      </w:r>
      <w:r>
        <w:rPr>
          <w:rFonts w:ascii="Verdana" w:hAnsi="Verdana" w:cs="Helvetica-Bold"/>
          <w:bCs/>
          <w:sz w:val="20"/>
          <w:lang w:eastAsia="en-GB"/>
        </w:rPr>
        <w:t>4</w:t>
      </w:r>
    </w:p>
    <w:p w14:paraId="597A5E53" w14:textId="77777777" w:rsidR="00916180" w:rsidRDefault="00916180" w:rsidP="00916180">
      <w:pPr>
        <w:spacing w:after="160" w:line="278" w:lineRule="auto"/>
        <w:rPr>
          <w:rFonts w:ascii="Verdana" w:hAnsi="Verdana" w:cs="Helvetica-Bold"/>
          <w:bCs/>
          <w:sz w:val="20"/>
          <w:lang w:eastAsia="en-GB"/>
        </w:rPr>
      </w:pPr>
      <w:r>
        <w:rPr>
          <w:rFonts w:ascii="Verdana" w:hAnsi="Verdana" w:cs="Helvetica-Bold"/>
          <w:bCs/>
          <w:sz w:val="20"/>
          <w:lang w:eastAsia="en-GB"/>
        </w:rPr>
        <w:br w:type="page"/>
      </w:r>
    </w:p>
    <w:p w14:paraId="46818B31" w14:textId="77777777" w:rsidR="00916180" w:rsidRDefault="00916180" w:rsidP="00916180">
      <w:pPr>
        <w:tabs>
          <w:tab w:val="left" w:pos="567"/>
        </w:tabs>
        <w:autoSpaceDE w:val="0"/>
        <w:autoSpaceDN w:val="0"/>
        <w:adjustRightInd w:val="0"/>
        <w:spacing w:line="312" w:lineRule="auto"/>
        <w:ind w:left="567" w:hanging="425"/>
        <w:rPr>
          <w:rFonts w:ascii="Verdana" w:hAnsi="Verdana" w:cs="Helvetica-Bold"/>
          <w:bCs/>
          <w:sz w:val="20"/>
          <w:lang w:eastAsia="en-GB"/>
        </w:rPr>
      </w:pPr>
    </w:p>
    <w:p w14:paraId="72C5A5FF" w14:textId="77777777" w:rsidR="00916180" w:rsidRDefault="00916180" w:rsidP="00916180">
      <w:pPr>
        <w:tabs>
          <w:tab w:val="left" w:pos="567"/>
        </w:tabs>
        <w:autoSpaceDE w:val="0"/>
        <w:autoSpaceDN w:val="0"/>
        <w:adjustRightInd w:val="0"/>
        <w:spacing w:line="312" w:lineRule="auto"/>
        <w:ind w:left="567" w:hanging="425"/>
        <w:rPr>
          <w:rFonts w:ascii="Verdana" w:hAnsi="Verdana" w:cs="Helvetica-Bold"/>
          <w:bCs/>
          <w:sz w:val="20"/>
          <w:lang w:eastAsia="en-GB"/>
        </w:rPr>
      </w:pPr>
    </w:p>
    <w:tbl>
      <w:tblPr>
        <w:tblW w:w="7911" w:type="dxa"/>
        <w:tblInd w:w="113" w:type="dxa"/>
        <w:tblLook w:val="04A0" w:firstRow="1" w:lastRow="0" w:firstColumn="1" w:lastColumn="0" w:noHBand="0" w:noVBand="1"/>
      </w:tblPr>
      <w:tblGrid>
        <w:gridCol w:w="1361"/>
        <w:gridCol w:w="1695"/>
        <w:gridCol w:w="973"/>
        <w:gridCol w:w="835"/>
        <w:gridCol w:w="840"/>
        <w:gridCol w:w="610"/>
        <w:gridCol w:w="700"/>
        <w:gridCol w:w="897"/>
      </w:tblGrid>
      <w:tr w:rsidR="00916180" w:rsidRPr="003F5D96" w14:paraId="5594B0D1" w14:textId="77777777" w:rsidTr="004C1C90">
        <w:trPr>
          <w:trHeight w:val="315"/>
        </w:trPr>
        <w:tc>
          <w:tcPr>
            <w:tcW w:w="1361" w:type="dxa"/>
            <w:tcBorders>
              <w:top w:val="single" w:sz="4" w:space="0" w:color="auto"/>
              <w:left w:val="single" w:sz="4" w:space="0" w:color="auto"/>
              <w:bottom w:val="nil"/>
              <w:right w:val="nil"/>
            </w:tcBorders>
            <w:shd w:val="clear" w:color="auto" w:fill="FFFFFF"/>
          </w:tcPr>
          <w:p w14:paraId="237E279E" w14:textId="77777777" w:rsidR="00916180" w:rsidRPr="003F5D96" w:rsidRDefault="00916180" w:rsidP="004C1C90">
            <w:pPr>
              <w:rPr>
                <w:rFonts w:ascii="Verdana" w:hAnsi="Verdana" w:cs="Arial"/>
                <w:b/>
                <w:bCs/>
                <w:color w:val="FFFFFF"/>
                <w:sz w:val="16"/>
                <w:szCs w:val="16"/>
                <w:lang w:eastAsia="en-GB"/>
              </w:rPr>
            </w:pPr>
            <w:r w:rsidRPr="003F5D96">
              <w:rPr>
                <w:rFonts w:ascii="Verdana" w:hAnsi="Verdana" w:cs="Helvetica-Bold"/>
                <w:bCs/>
                <w:sz w:val="16"/>
                <w:szCs w:val="16"/>
                <w:lang w:eastAsia="en-GB"/>
              </w:rPr>
              <w:br w:type="page"/>
            </w:r>
          </w:p>
        </w:tc>
        <w:tc>
          <w:tcPr>
            <w:tcW w:w="1695" w:type="dxa"/>
            <w:tcBorders>
              <w:top w:val="single" w:sz="4" w:space="0" w:color="auto"/>
              <w:left w:val="single" w:sz="4" w:space="0" w:color="auto"/>
              <w:bottom w:val="nil"/>
              <w:right w:val="single" w:sz="4" w:space="0" w:color="auto"/>
            </w:tcBorders>
            <w:shd w:val="clear" w:color="auto" w:fill="FFFFFF"/>
            <w:noWrap/>
            <w:vAlign w:val="bottom"/>
            <w:hideMark/>
          </w:tcPr>
          <w:p w14:paraId="39C2952A" w14:textId="77777777" w:rsidR="00916180" w:rsidRPr="003F5D96" w:rsidRDefault="00916180" w:rsidP="004C1C90">
            <w:pPr>
              <w:rPr>
                <w:rFonts w:ascii="Verdana" w:hAnsi="Verdana" w:cs="Arial"/>
                <w:b/>
                <w:bCs/>
                <w:sz w:val="16"/>
                <w:szCs w:val="16"/>
                <w:lang w:eastAsia="en-GB"/>
              </w:rPr>
            </w:pPr>
            <w:r w:rsidRPr="003F5D96">
              <w:rPr>
                <w:rFonts w:ascii="Verdana" w:hAnsi="Verdana" w:cs="Arial"/>
                <w:b/>
                <w:bCs/>
                <w:sz w:val="16"/>
                <w:szCs w:val="16"/>
                <w:lang w:eastAsia="en-GB"/>
              </w:rPr>
              <w:t>REMUNERATION COMMITTEE</w:t>
            </w: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E15202" w14:textId="77777777" w:rsidR="00916180" w:rsidRPr="003F5D96" w:rsidRDefault="00916180" w:rsidP="004C1C90">
            <w:pPr>
              <w:rPr>
                <w:rFonts w:ascii="Verdana" w:hAnsi="Verdana" w:cs="Arial"/>
                <w:color w:val="FFFFFF"/>
                <w:sz w:val="16"/>
                <w:szCs w:val="16"/>
                <w:lang w:eastAsia="en-GB"/>
              </w:rPr>
            </w:pPr>
            <w:r w:rsidRPr="003F5D96">
              <w:rPr>
                <w:rFonts w:ascii="Verdana" w:hAnsi="Verdana" w:cs="Arial"/>
                <w:color w:val="FFFFFF"/>
                <w:sz w:val="16"/>
                <w:szCs w:val="16"/>
                <w:lang w:eastAsia="en-GB"/>
              </w:rPr>
              <w:t> </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7140A30" w14:textId="77777777" w:rsidR="00916180" w:rsidRPr="003F5D96" w:rsidRDefault="00916180" w:rsidP="004C1C90">
            <w:pPr>
              <w:jc w:val="center"/>
              <w:rPr>
                <w:rFonts w:ascii="Verdana" w:hAnsi="Verdana" w:cs="Arial"/>
                <w:color w:val="FFFFFF"/>
                <w:sz w:val="16"/>
                <w:szCs w:val="16"/>
                <w:lang w:eastAsia="en-GB"/>
              </w:rPr>
            </w:pPr>
          </w:p>
        </w:tc>
        <w:tc>
          <w:tcPr>
            <w:tcW w:w="840" w:type="dxa"/>
            <w:tcBorders>
              <w:top w:val="single" w:sz="4" w:space="0" w:color="auto"/>
              <w:left w:val="single" w:sz="4" w:space="0" w:color="auto"/>
              <w:bottom w:val="nil"/>
              <w:right w:val="nil"/>
            </w:tcBorders>
            <w:shd w:val="clear" w:color="auto" w:fill="FFFFFF"/>
            <w:noWrap/>
            <w:vAlign w:val="bottom"/>
            <w:hideMark/>
          </w:tcPr>
          <w:p w14:paraId="56D7D031" w14:textId="77777777" w:rsidR="00916180" w:rsidRPr="003F5D96" w:rsidRDefault="00916180" w:rsidP="004C1C90">
            <w:pPr>
              <w:jc w:val="center"/>
              <w:rPr>
                <w:rFonts w:ascii="Verdana" w:hAnsi="Verdana" w:cs="Arial"/>
                <w:color w:val="FFFFFF"/>
                <w:sz w:val="16"/>
                <w:szCs w:val="16"/>
                <w:lang w:eastAsia="en-GB"/>
              </w:rPr>
            </w:pPr>
            <w:r w:rsidRPr="003F5D96">
              <w:rPr>
                <w:rFonts w:ascii="Verdana" w:hAnsi="Verdana" w:cs="Arial"/>
                <w:color w:val="FFFFFF"/>
                <w:sz w:val="16"/>
                <w:szCs w:val="16"/>
                <w:lang w:eastAsia="en-GB"/>
              </w:rPr>
              <w:t> </w:t>
            </w:r>
          </w:p>
        </w:tc>
        <w:tc>
          <w:tcPr>
            <w:tcW w:w="610" w:type="dxa"/>
            <w:tcBorders>
              <w:top w:val="single" w:sz="4" w:space="0" w:color="auto"/>
              <w:left w:val="nil"/>
              <w:bottom w:val="nil"/>
              <w:right w:val="nil"/>
            </w:tcBorders>
            <w:shd w:val="clear" w:color="auto" w:fill="FFFFFF"/>
          </w:tcPr>
          <w:p w14:paraId="305AD246" w14:textId="77777777" w:rsidR="00916180" w:rsidRPr="003F5D96" w:rsidRDefault="00916180" w:rsidP="004C1C90">
            <w:pPr>
              <w:jc w:val="center"/>
              <w:rPr>
                <w:rFonts w:ascii="Verdana" w:hAnsi="Verdana" w:cs="Arial"/>
                <w:color w:val="FFFFFF"/>
                <w:sz w:val="16"/>
                <w:szCs w:val="16"/>
                <w:lang w:eastAsia="en-GB"/>
              </w:rPr>
            </w:pPr>
          </w:p>
        </w:tc>
        <w:tc>
          <w:tcPr>
            <w:tcW w:w="700" w:type="dxa"/>
            <w:tcBorders>
              <w:top w:val="single" w:sz="4" w:space="0" w:color="auto"/>
              <w:left w:val="nil"/>
              <w:bottom w:val="nil"/>
              <w:right w:val="single" w:sz="4" w:space="0" w:color="auto"/>
            </w:tcBorders>
            <w:shd w:val="clear" w:color="auto" w:fill="FFFFFF"/>
            <w:noWrap/>
            <w:vAlign w:val="bottom"/>
            <w:hideMark/>
          </w:tcPr>
          <w:p w14:paraId="2741A58B" w14:textId="77777777" w:rsidR="00916180" w:rsidRPr="003F5D96" w:rsidRDefault="00916180" w:rsidP="004C1C90">
            <w:pPr>
              <w:jc w:val="center"/>
              <w:rPr>
                <w:rFonts w:ascii="Verdana" w:hAnsi="Verdana" w:cs="Arial"/>
                <w:color w:val="FFFFFF"/>
                <w:sz w:val="16"/>
                <w:szCs w:val="16"/>
                <w:lang w:eastAsia="en-GB"/>
              </w:rPr>
            </w:pPr>
            <w:r w:rsidRPr="003F5D96">
              <w:rPr>
                <w:rFonts w:ascii="Verdana" w:hAnsi="Verdana" w:cs="Arial"/>
                <w:color w:val="FFFFFF"/>
                <w:sz w:val="16"/>
                <w:szCs w:val="16"/>
                <w:lang w:eastAsia="en-GB"/>
              </w:rPr>
              <w:t> </w:t>
            </w:r>
          </w:p>
        </w:tc>
        <w:tc>
          <w:tcPr>
            <w:tcW w:w="8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787E5F" w14:textId="77777777" w:rsidR="00916180" w:rsidRPr="003F5D96" w:rsidRDefault="00916180" w:rsidP="004C1C90">
            <w:pPr>
              <w:jc w:val="center"/>
              <w:rPr>
                <w:rFonts w:ascii="Verdana" w:hAnsi="Verdana" w:cs="Arial"/>
                <w:color w:val="FFFFFF"/>
                <w:sz w:val="16"/>
                <w:szCs w:val="16"/>
                <w:lang w:eastAsia="en-GB"/>
              </w:rPr>
            </w:pPr>
            <w:r w:rsidRPr="003F5D96">
              <w:rPr>
                <w:rFonts w:ascii="Verdana" w:hAnsi="Verdana" w:cs="Arial"/>
                <w:color w:val="FFFFFF"/>
                <w:sz w:val="16"/>
                <w:szCs w:val="16"/>
                <w:lang w:eastAsia="en-GB"/>
              </w:rPr>
              <w:t> </w:t>
            </w:r>
          </w:p>
        </w:tc>
      </w:tr>
      <w:tr w:rsidR="00916180" w:rsidRPr="003F5D96" w14:paraId="263F95AE" w14:textId="77777777" w:rsidTr="004C1C90">
        <w:trPr>
          <w:trHeight w:val="1710"/>
        </w:trPr>
        <w:tc>
          <w:tcPr>
            <w:tcW w:w="1361" w:type="dxa"/>
            <w:tcBorders>
              <w:top w:val="single" w:sz="4" w:space="0" w:color="auto"/>
              <w:left w:val="single" w:sz="4" w:space="0" w:color="auto"/>
              <w:bottom w:val="single" w:sz="4" w:space="0" w:color="auto"/>
              <w:right w:val="single" w:sz="4" w:space="0" w:color="auto"/>
            </w:tcBorders>
            <w:shd w:val="clear" w:color="auto" w:fill="FFFFFF"/>
            <w:textDirection w:val="btLr"/>
          </w:tcPr>
          <w:p w14:paraId="44502581" w14:textId="77777777" w:rsidR="00916180" w:rsidRPr="003F5D96" w:rsidRDefault="00916180" w:rsidP="004C1C90">
            <w:pPr>
              <w:jc w:val="center"/>
              <w:rPr>
                <w:rFonts w:ascii="Verdana" w:hAnsi="Verdana" w:cs="Arial"/>
                <w:b/>
                <w:bCs/>
                <w:color w:val="FF0000"/>
                <w:sz w:val="16"/>
                <w:szCs w:val="16"/>
                <w:lang w:eastAsia="en-GB"/>
              </w:rPr>
            </w:pPr>
          </w:p>
        </w:tc>
        <w:tc>
          <w:tcPr>
            <w:tcW w:w="1695" w:type="dxa"/>
            <w:tcBorders>
              <w:top w:val="single" w:sz="4" w:space="0" w:color="auto"/>
              <w:left w:val="single" w:sz="4" w:space="0" w:color="auto"/>
              <w:bottom w:val="single" w:sz="4" w:space="0" w:color="auto"/>
              <w:right w:val="single" w:sz="4" w:space="0" w:color="auto"/>
            </w:tcBorders>
            <w:shd w:val="clear" w:color="auto" w:fill="FFFFFF"/>
            <w:noWrap/>
            <w:textDirection w:val="btLr"/>
            <w:vAlign w:val="bottom"/>
            <w:hideMark/>
          </w:tcPr>
          <w:p w14:paraId="51BBAF10"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16.11.23</w:t>
            </w:r>
          </w:p>
        </w:tc>
        <w:tc>
          <w:tcPr>
            <w:tcW w:w="973" w:type="dxa"/>
            <w:tcBorders>
              <w:top w:val="single" w:sz="4" w:space="0" w:color="auto"/>
              <w:left w:val="nil"/>
              <w:bottom w:val="single" w:sz="4" w:space="0" w:color="auto"/>
              <w:right w:val="single" w:sz="4" w:space="0" w:color="auto"/>
            </w:tcBorders>
            <w:shd w:val="clear" w:color="auto" w:fill="FFFFFF"/>
            <w:noWrap/>
            <w:textDirection w:val="btLr"/>
            <w:vAlign w:val="bottom"/>
            <w:hideMark/>
          </w:tcPr>
          <w:p w14:paraId="2837D38D"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13.03.24</w:t>
            </w:r>
          </w:p>
        </w:tc>
        <w:tc>
          <w:tcPr>
            <w:tcW w:w="835" w:type="dxa"/>
            <w:tcBorders>
              <w:top w:val="single" w:sz="4" w:space="0" w:color="auto"/>
              <w:left w:val="nil"/>
              <w:bottom w:val="single" w:sz="4" w:space="0" w:color="auto"/>
              <w:right w:val="single" w:sz="4" w:space="0" w:color="auto"/>
            </w:tcBorders>
            <w:shd w:val="clear" w:color="auto" w:fill="FFFFFF"/>
            <w:textDirection w:val="btLr"/>
          </w:tcPr>
          <w:p w14:paraId="00BBA0CB" w14:textId="77777777" w:rsidR="00916180" w:rsidRPr="00921AC1" w:rsidRDefault="00916180" w:rsidP="004C1C90">
            <w:pPr>
              <w:jc w:val="center"/>
              <w:rPr>
                <w:rFonts w:ascii="Verdana" w:hAnsi="Verdana" w:cs="Arial"/>
                <w:b/>
                <w:color w:val="000000"/>
                <w:sz w:val="16"/>
                <w:szCs w:val="16"/>
                <w:lang w:eastAsia="en-GB"/>
              </w:rPr>
            </w:pPr>
            <w:r>
              <w:rPr>
                <w:rFonts w:ascii="Verdana" w:hAnsi="Verdana" w:cs="Arial"/>
                <w:b/>
                <w:color w:val="000000"/>
                <w:sz w:val="16"/>
                <w:szCs w:val="16"/>
                <w:lang w:eastAsia="en-GB"/>
              </w:rPr>
              <w:t>27.06.24</w:t>
            </w:r>
          </w:p>
        </w:tc>
        <w:tc>
          <w:tcPr>
            <w:tcW w:w="840" w:type="dxa"/>
            <w:tcBorders>
              <w:top w:val="single" w:sz="4" w:space="0" w:color="auto"/>
              <w:left w:val="single" w:sz="4" w:space="0" w:color="auto"/>
              <w:bottom w:val="single" w:sz="4" w:space="0" w:color="auto"/>
              <w:right w:val="single" w:sz="4" w:space="0" w:color="auto"/>
            </w:tcBorders>
            <w:shd w:val="clear" w:color="auto" w:fill="FFFFFF"/>
            <w:noWrap/>
            <w:textDirection w:val="btLr"/>
            <w:vAlign w:val="bottom"/>
            <w:hideMark/>
          </w:tcPr>
          <w:p w14:paraId="391433AF" w14:textId="77777777" w:rsidR="00916180" w:rsidRPr="003F5D96" w:rsidRDefault="00916180" w:rsidP="004C1C90">
            <w:pPr>
              <w:jc w:val="center"/>
              <w:rPr>
                <w:rFonts w:ascii="Verdana" w:hAnsi="Verdana" w:cs="Arial"/>
                <w:color w:val="000000"/>
                <w:sz w:val="16"/>
                <w:szCs w:val="16"/>
                <w:lang w:eastAsia="en-GB"/>
              </w:rPr>
            </w:pPr>
            <w:r w:rsidRPr="003F5D96">
              <w:rPr>
                <w:rFonts w:ascii="Verdana" w:hAnsi="Verdana" w:cs="Arial"/>
                <w:color w:val="000000"/>
                <w:sz w:val="16"/>
                <w:szCs w:val="16"/>
                <w:lang w:eastAsia="en-GB"/>
              </w:rPr>
              <w:t>Actual attendance</w:t>
            </w:r>
          </w:p>
        </w:tc>
        <w:tc>
          <w:tcPr>
            <w:tcW w:w="610" w:type="dxa"/>
            <w:tcBorders>
              <w:top w:val="single" w:sz="4" w:space="0" w:color="auto"/>
              <w:left w:val="nil"/>
              <w:bottom w:val="single" w:sz="4" w:space="0" w:color="auto"/>
              <w:right w:val="nil"/>
            </w:tcBorders>
            <w:shd w:val="clear" w:color="auto" w:fill="FFFFFF"/>
            <w:textDirection w:val="btLr"/>
          </w:tcPr>
          <w:p w14:paraId="570F934C" w14:textId="77777777" w:rsidR="00916180" w:rsidRPr="003F5D96" w:rsidRDefault="00916180" w:rsidP="004C1C90">
            <w:pPr>
              <w:jc w:val="center"/>
              <w:rPr>
                <w:rFonts w:ascii="Verdana" w:hAnsi="Verdana" w:cs="Arial"/>
                <w:sz w:val="16"/>
                <w:szCs w:val="16"/>
                <w:lang w:eastAsia="en-GB"/>
              </w:rPr>
            </w:pPr>
          </w:p>
        </w:tc>
        <w:tc>
          <w:tcPr>
            <w:tcW w:w="700" w:type="dxa"/>
            <w:tcBorders>
              <w:top w:val="single" w:sz="4" w:space="0" w:color="auto"/>
              <w:left w:val="nil"/>
              <w:bottom w:val="single" w:sz="4" w:space="0" w:color="auto"/>
              <w:right w:val="single" w:sz="4" w:space="0" w:color="auto"/>
            </w:tcBorders>
            <w:shd w:val="clear" w:color="auto" w:fill="FFFFFF"/>
            <w:noWrap/>
            <w:textDirection w:val="btLr"/>
            <w:vAlign w:val="bottom"/>
            <w:hideMark/>
          </w:tcPr>
          <w:p w14:paraId="0B929DEF" w14:textId="77777777" w:rsidR="00916180" w:rsidRPr="003F5D96" w:rsidRDefault="00916180" w:rsidP="004C1C90">
            <w:pPr>
              <w:jc w:val="center"/>
              <w:rPr>
                <w:rFonts w:ascii="Verdana" w:hAnsi="Verdana" w:cs="Arial"/>
                <w:sz w:val="16"/>
                <w:szCs w:val="16"/>
                <w:lang w:eastAsia="en-GB"/>
              </w:rPr>
            </w:pPr>
            <w:r w:rsidRPr="003F5D96">
              <w:rPr>
                <w:rFonts w:ascii="Verdana" w:hAnsi="Verdana" w:cs="Arial"/>
                <w:sz w:val="16"/>
                <w:szCs w:val="16"/>
                <w:lang w:eastAsia="en-GB"/>
              </w:rPr>
              <w:t>Possible attendance</w:t>
            </w:r>
          </w:p>
        </w:tc>
        <w:tc>
          <w:tcPr>
            <w:tcW w:w="897" w:type="dxa"/>
            <w:tcBorders>
              <w:top w:val="single" w:sz="4" w:space="0" w:color="auto"/>
              <w:left w:val="nil"/>
              <w:bottom w:val="single" w:sz="4" w:space="0" w:color="auto"/>
              <w:right w:val="single" w:sz="4" w:space="0" w:color="auto"/>
            </w:tcBorders>
            <w:shd w:val="clear" w:color="auto" w:fill="FFFFFF"/>
            <w:noWrap/>
            <w:textDirection w:val="btLr"/>
            <w:vAlign w:val="bottom"/>
            <w:hideMark/>
          </w:tcPr>
          <w:p w14:paraId="12C18CB4" w14:textId="77777777" w:rsidR="00916180" w:rsidRPr="003F5D96" w:rsidRDefault="00916180" w:rsidP="004C1C90">
            <w:pPr>
              <w:jc w:val="center"/>
              <w:rPr>
                <w:rFonts w:ascii="Verdana" w:hAnsi="Verdana" w:cs="Arial"/>
                <w:color w:val="000000"/>
                <w:sz w:val="16"/>
                <w:szCs w:val="16"/>
                <w:lang w:eastAsia="en-GB"/>
              </w:rPr>
            </w:pPr>
            <w:r w:rsidRPr="003F5D96">
              <w:rPr>
                <w:rFonts w:ascii="Verdana" w:hAnsi="Verdana" w:cs="Arial"/>
                <w:color w:val="000000"/>
                <w:sz w:val="16"/>
                <w:szCs w:val="16"/>
                <w:lang w:eastAsia="en-GB"/>
              </w:rPr>
              <w:t>% attendance</w:t>
            </w:r>
          </w:p>
        </w:tc>
      </w:tr>
      <w:tr w:rsidR="00916180" w:rsidRPr="003F5D96" w14:paraId="6BA046B0" w14:textId="77777777" w:rsidTr="004C1C90">
        <w:trPr>
          <w:trHeight w:val="244"/>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705E0834" w14:textId="77777777" w:rsidR="00916180" w:rsidRPr="003F5D96" w:rsidRDefault="00916180" w:rsidP="004C1C90">
            <w:pPr>
              <w:jc w:val="center"/>
              <w:rPr>
                <w:rFonts w:ascii="Verdana" w:hAnsi="Verdana" w:cs="Arial"/>
                <w:sz w:val="16"/>
                <w:szCs w:val="16"/>
                <w:lang w:eastAsia="en-GB"/>
              </w:rPr>
            </w:pPr>
            <w:r w:rsidRPr="003F5D96">
              <w:rPr>
                <w:rFonts w:ascii="Verdana" w:hAnsi="Verdana" w:cs="Arial"/>
                <w:sz w:val="16"/>
                <w:szCs w:val="16"/>
                <w:lang w:eastAsia="en-GB"/>
              </w:rPr>
              <w:t>Marilyn Hawkins</w:t>
            </w:r>
          </w:p>
        </w:tc>
        <w:tc>
          <w:tcPr>
            <w:tcW w:w="169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6DA47B" w14:textId="77777777"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Y</w:t>
            </w:r>
          </w:p>
        </w:tc>
        <w:tc>
          <w:tcPr>
            <w:tcW w:w="973" w:type="dxa"/>
            <w:tcBorders>
              <w:top w:val="single" w:sz="4" w:space="0" w:color="auto"/>
              <w:left w:val="single" w:sz="4" w:space="0" w:color="auto"/>
              <w:bottom w:val="single" w:sz="4" w:space="0" w:color="auto"/>
              <w:right w:val="single" w:sz="4" w:space="0" w:color="auto"/>
            </w:tcBorders>
            <w:shd w:val="clear" w:color="auto" w:fill="FFFFFF"/>
            <w:noWrap/>
          </w:tcPr>
          <w:p w14:paraId="234BEA9C" w14:textId="77777777" w:rsidR="00916180" w:rsidRDefault="00916180" w:rsidP="004C1C90">
            <w:pPr>
              <w:jc w:val="center"/>
              <w:rPr>
                <w:rFonts w:ascii="Verdana" w:hAnsi="Verdana" w:cs="Arial"/>
                <w:sz w:val="16"/>
                <w:szCs w:val="16"/>
                <w:lang w:eastAsia="en-GB"/>
              </w:rPr>
            </w:pPr>
          </w:p>
          <w:p w14:paraId="32743A0A" w14:textId="77777777" w:rsidR="00916180" w:rsidRPr="003F5D96" w:rsidRDefault="00916180" w:rsidP="004C1C90">
            <w:pPr>
              <w:jc w:val="center"/>
              <w:rPr>
                <w:rFonts w:ascii="Verdana" w:hAnsi="Verdana" w:cs="Arial"/>
                <w:sz w:val="16"/>
                <w:szCs w:val="16"/>
                <w:lang w:eastAsia="en-GB"/>
              </w:rPr>
            </w:pPr>
            <w:r w:rsidRPr="00A751F5">
              <w:rPr>
                <w:rFonts w:ascii="Verdana" w:hAnsi="Verdana" w:cs="Arial"/>
                <w:sz w:val="16"/>
                <w:szCs w:val="16"/>
                <w:lang w:eastAsia="en-GB"/>
              </w:rPr>
              <w:t>Y</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FE36388" w14:textId="77777777" w:rsidR="00916180" w:rsidRDefault="00916180" w:rsidP="004C1C90">
            <w:pPr>
              <w:jc w:val="center"/>
              <w:rPr>
                <w:rFonts w:ascii="Verdana" w:hAnsi="Verdana" w:cs="Arial"/>
                <w:sz w:val="16"/>
                <w:szCs w:val="16"/>
                <w:lang w:eastAsia="en-GB"/>
              </w:rPr>
            </w:pPr>
          </w:p>
          <w:p w14:paraId="416E2056" w14:textId="77777777" w:rsidR="00916180" w:rsidRPr="00A60AFC" w:rsidRDefault="00916180" w:rsidP="004C1C90">
            <w:pPr>
              <w:jc w:val="center"/>
              <w:rPr>
                <w:rFonts w:ascii="Verdana" w:hAnsi="Verdana" w:cs="Arial"/>
                <w:sz w:val="16"/>
                <w:szCs w:val="16"/>
                <w:lang w:eastAsia="en-GB"/>
              </w:rPr>
            </w:pPr>
            <w:r w:rsidRPr="00A60AFC">
              <w:rPr>
                <w:rFonts w:ascii="Verdana" w:hAnsi="Verdana" w:cs="Arial"/>
                <w:sz w:val="16"/>
                <w:szCs w:val="16"/>
                <w:lang w:eastAsia="en-GB"/>
              </w:rPr>
              <w:t>Y</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DB6B78"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3</w:t>
            </w:r>
          </w:p>
        </w:tc>
        <w:tc>
          <w:tcPr>
            <w:tcW w:w="1310" w:type="dxa"/>
            <w:gridSpan w:val="2"/>
            <w:tcBorders>
              <w:top w:val="single" w:sz="4" w:space="0" w:color="auto"/>
              <w:left w:val="single" w:sz="4" w:space="0" w:color="auto"/>
              <w:bottom w:val="single" w:sz="4" w:space="0" w:color="auto"/>
              <w:right w:val="single" w:sz="4" w:space="0" w:color="auto"/>
            </w:tcBorders>
            <w:shd w:val="clear" w:color="auto" w:fill="FFFFFF"/>
          </w:tcPr>
          <w:p w14:paraId="54B6A778" w14:textId="77777777" w:rsidR="00916180" w:rsidRDefault="00916180" w:rsidP="004C1C90">
            <w:pPr>
              <w:jc w:val="center"/>
              <w:rPr>
                <w:rFonts w:ascii="Verdana" w:hAnsi="Verdana" w:cs="Arial"/>
                <w:b/>
                <w:bCs/>
                <w:sz w:val="16"/>
                <w:szCs w:val="16"/>
                <w:lang w:eastAsia="en-GB"/>
              </w:rPr>
            </w:pPr>
          </w:p>
          <w:p w14:paraId="7E438E5E"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3</w:t>
            </w:r>
          </w:p>
        </w:tc>
        <w:tc>
          <w:tcPr>
            <w:tcW w:w="8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B99BF2" w14:textId="77777777" w:rsidR="00916180" w:rsidRPr="003F5D96" w:rsidRDefault="00916180" w:rsidP="004C1C90">
            <w:pPr>
              <w:jc w:val="center"/>
              <w:rPr>
                <w:rFonts w:ascii="Verdana" w:hAnsi="Verdana" w:cs="Arial"/>
                <w:b/>
                <w:bCs/>
                <w:sz w:val="16"/>
                <w:szCs w:val="16"/>
                <w:lang w:eastAsia="en-GB"/>
              </w:rPr>
            </w:pPr>
            <w:r w:rsidRPr="003F5D96">
              <w:rPr>
                <w:rFonts w:ascii="Verdana" w:hAnsi="Verdana" w:cs="Arial"/>
                <w:b/>
                <w:bCs/>
                <w:sz w:val="16"/>
                <w:szCs w:val="16"/>
                <w:lang w:eastAsia="en-GB"/>
              </w:rPr>
              <w:t>100%</w:t>
            </w:r>
          </w:p>
        </w:tc>
      </w:tr>
      <w:tr w:rsidR="00916180" w:rsidRPr="003F5D96" w14:paraId="2254DB34" w14:textId="77777777" w:rsidTr="004C1C90">
        <w:trPr>
          <w:trHeight w:val="244"/>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7EC4BB7B" w14:textId="77777777" w:rsidR="00916180" w:rsidRPr="003F5D96" w:rsidRDefault="00916180" w:rsidP="004C1C90">
            <w:pPr>
              <w:jc w:val="center"/>
              <w:rPr>
                <w:rFonts w:ascii="Verdana" w:hAnsi="Verdana" w:cs="Arial"/>
                <w:sz w:val="16"/>
                <w:szCs w:val="16"/>
                <w:lang w:eastAsia="en-GB"/>
              </w:rPr>
            </w:pPr>
            <w:r w:rsidRPr="003F5D96">
              <w:rPr>
                <w:rFonts w:ascii="Verdana" w:hAnsi="Verdana" w:cs="Arial"/>
                <w:sz w:val="16"/>
                <w:szCs w:val="16"/>
                <w:lang w:eastAsia="en-GB"/>
              </w:rPr>
              <w:t>Rob Hull</w:t>
            </w:r>
          </w:p>
        </w:tc>
        <w:tc>
          <w:tcPr>
            <w:tcW w:w="1695" w:type="dxa"/>
            <w:tcBorders>
              <w:top w:val="single" w:sz="4" w:space="0" w:color="auto"/>
              <w:left w:val="single" w:sz="4" w:space="0" w:color="auto"/>
              <w:bottom w:val="single" w:sz="4" w:space="0" w:color="auto"/>
              <w:right w:val="single" w:sz="4" w:space="0" w:color="auto"/>
            </w:tcBorders>
            <w:shd w:val="clear" w:color="auto" w:fill="FFFFFF"/>
            <w:noWrap/>
          </w:tcPr>
          <w:p w14:paraId="5C59587D" w14:textId="77777777" w:rsidR="00916180" w:rsidRPr="003F5D96" w:rsidRDefault="00916180" w:rsidP="004C1C90">
            <w:pPr>
              <w:jc w:val="center"/>
              <w:rPr>
                <w:rFonts w:ascii="Verdana" w:hAnsi="Verdana" w:cs="Arial"/>
                <w:sz w:val="16"/>
                <w:szCs w:val="16"/>
                <w:lang w:eastAsia="en-GB"/>
              </w:rPr>
            </w:pPr>
            <w:r w:rsidRPr="009F5267">
              <w:rPr>
                <w:rFonts w:ascii="Verdana" w:hAnsi="Verdana" w:cs="Arial"/>
                <w:sz w:val="16"/>
                <w:szCs w:val="16"/>
                <w:lang w:eastAsia="en-GB"/>
              </w:rPr>
              <w:t>Y</w:t>
            </w:r>
          </w:p>
        </w:tc>
        <w:tc>
          <w:tcPr>
            <w:tcW w:w="973" w:type="dxa"/>
            <w:tcBorders>
              <w:top w:val="single" w:sz="4" w:space="0" w:color="auto"/>
              <w:left w:val="nil"/>
              <w:bottom w:val="single" w:sz="4" w:space="0" w:color="auto"/>
              <w:right w:val="single" w:sz="4" w:space="0" w:color="auto"/>
            </w:tcBorders>
            <w:shd w:val="clear" w:color="auto" w:fill="FFFFFF"/>
            <w:noWrap/>
          </w:tcPr>
          <w:p w14:paraId="6AA4A885" w14:textId="77777777" w:rsidR="00916180" w:rsidRPr="003F5D96" w:rsidRDefault="00916180" w:rsidP="004C1C90">
            <w:pPr>
              <w:jc w:val="center"/>
              <w:rPr>
                <w:rFonts w:ascii="Verdana" w:hAnsi="Verdana" w:cs="Arial"/>
                <w:sz w:val="16"/>
                <w:szCs w:val="16"/>
                <w:lang w:eastAsia="en-GB"/>
              </w:rPr>
            </w:pPr>
            <w:r w:rsidRPr="00A751F5">
              <w:rPr>
                <w:rFonts w:ascii="Verdana" w:hAnsi="Verdana" w:cs="Arial"/>
                <w:sz w:val="16"/>
                <w:szCs w:val="16"/>
                <w:lang w:eastAsia="en-GB"/>
              </w:rPr>
              <w:t>Y</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9E1F2D9" w14:textId="77777777" w:rsidR="00916180" w:rsidRPr="00A60AFC" w:rsidRDefault="00916180" w:rsidP="004C1C90">
            <w:pPr>
              <w:jc w:val="center"/>
              <w:rPr>
                <w:rFonts w:ascii="Verdana" w:hAnsi="Verdana" w:cs="Arial"/>
                <w:sz w:val="16"/>
                <w:szCs w:val="16"/>
                <w:lang w:eastAsia="en-GB"/>
              </w:rPr>
            </w:pPr>
            <w:r w:rsidRPr="00A60AFC">
              <w:rPr>
                <w:rFonts w:ascii="Verdana" w:hAnsi="Verdana" w:cs="Arial"/>
                <w:sz w:val="16"/>
                <w:szCs w:val="16"/>
                <w:lang w:eastAsia="en-GB"/>
              </w:rPr>
              <w:t>Y</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2E4452"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3</w:t>
            </w:r>
          </w:p>
        </w:tc>
        <w:tc>
          <w:tcPr>
            <w:tcW w:w="1310" w:type="dxa"/>
            <w:gridSpan w:val="2"/>
            <w:tcBorders>
              <w:top w:val="single" w:sz="4" w:space="0" w:color="auto"/>
              <w:left w:val="single" w:sz="4" w:space="0" w:color="auto"/>
              <w:bottom w:val="single" w:sz="4" w:space="0" w:color="auto"/>
              <w:right w:val="single" w:sz="4" w:space="0" w:color="auto"/>
            </w:tcBorders>
            <w:shd w:val="clear" w:color="auto" w:fill="FFFFFF"/>
          </w:tcPr>
          <w:p w14:paraId="160007A9"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3</w:t>
            </w:r>
          </w:p>
        </w:tc>
        <w:tc>
          <w:tcPr>
            <w:tcW w:w="8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329A44" w14:textId="77777777" w:rsidR="00916180" w:rsidRPr="003F5D96" w:rsidRDefault="00916180" w:rsidP="004C1C90">
            <w:pPr>
              <w:jc w:val="center"/>
              <w:rPr>
                <w:rFonts w:ascii="Verdana" w:hAnsi="Verdana" w:cs="Arial"/>
                <w:b/>
                <w:bCs/>
                <w:sz w:val="16"/>
                <w:szCs w:val="16"/>
                <w:lang w:eastAsia="en-GB"/>
              </w:rPr>
            </w:pPr>
            <w:r w:rsidRPr="003F5D96">
              <w:rPr>
                <w:rFonts w:ascii="Verdana" w:hAnsi="Verdana" w:cs="Arial"/>
                <w:b/>
                <w:bCs/>
                <w:sz w:val="16"/>
                <w:szCs w:val="16"/>
                <w:lang w:eastAsia="en-GB"/>
              </w:rPr>
              <w:t>100%</w:t>
            </w:r>
          </w:p>
        </w:tc>
      </w:tr>
      <w:tr w:rsidR="00916180" w:rsidRPr="003F5D96" w14:paraId="101CFFF9" w14:textId="77777777" w:rsidTr="004C1C90">
        <w:trPr>
          <w:trHeight w:val="244"/>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2C6A0BB8" w14:textId="149AD021" w:rsidR="00916180" w:rsidRPr="003F5D96" w:rsidRDefault="00916180" w:rsidP="004C1C90">
            <w:pPr>
              <w:jc w:val="center"/>
              <w:rPr>
                <w:rFonts w:ascii="Verdana" w:hAnsi="Verdana" w:cs="Arial"/>
                <w:sz w:val="16"/>
                <w:szCs w:val="16"/>
                <w:lang w:eastAsia="en-GB"/>
              </w:rPr>
            </w:pPr>
            <w:r w:rsidRPr="003F5D96">
              <w:rPr>
                <w:rFonts w:ascii="Verdana" w:hAnsi="Verdana" w:cs="Arial"/>
                <w:sz w:val="16"/>
                <w:szCs w:val="16"/>
                <w:lang w:eastAsia="en-GB"/>
              </w:rPr>
              <w:t>Gerry McDonald</w:t>
            </w:r>
            <w:r>
              <w:rPr>
                <w:rFonts w:ascii="Verdana" w:hAnsi="Verdana" w:cs="Arial"/>
                <w:sz w:val="16"/>
                <w:szCs w:val="16"/>
                <w:lang w:eastAsia="en-GB"/>
              </w:rPr>
              <w:t xml:space="preserve"> (in attendance)</w:t>
            </w:r>
          </w:p>
        </w:tc>
        <w:tc>
          <w:tcPr>
            <w:tcW w:w="1695" w:type="dxa"/>
            <w:tcBorders>
              <w:top w:val="single" w:sz="4" w:space="0" w:color="auto"/>
              <w:left w:val="single" w:sz="4" w:space="0" w:color="auto"/>
              <w:bottom w:val="single" w:sz="4" w:space="0" w:color="auto"/>
              <w:right w:val="single" w:sz="4" w:space="0" w:color="auto"/>
            </w:tcBorders>
            <w:shd w:val="clear" w:color="auto" w:fill="FFFFFF"/>
            <w:noWrap/>
          </w:tcPr>
          <w:p w14:paraId="7B5063AA" w14:textId="77777777" w:rsidR="00916180" w:rsidRPr="003F5D96" w:rsidRDefault="00916180" w:rsidP="004C1C90">
            <w:pPr>
              <w:jc w:val="center"/>
              <w:rPr>
                <w:rFonts w:ascii="Verdana" w:hAnsi="Verdana" w:cs="Arial"/>
                <w:sz w:val="16"/>
                <w:szCs w:val="16"/>
                <w:lang w:eastAsia="en-GB"/>
              </w:rPr>
            </w:pPr>
            <w:r w:rsidRPr="009F5267">
              <w:rPr>
                <w:rFonts w:ascii="Verdana" w:hAnsi="Verdana" w:cs="Arial"/>
                <w:sz w:val="16"/>
                <w:szCs w:val="16"/>
                <w:lang w:eastAsia="en-GB"/>
              </w:rPr>
              <w:t>Y</w:t>
            </w:r>
          </w:p>
        </w:tc>
        <w:tc>
          <w:tcPr>
            <w:tcW w:w="973" w:type="dxa"/>
            <w:tcBorders>
              <w:top w:val="single" w:sz="4" w:space="0" w:color="auto"/>
              <w:left w:val="single" w:sz="4" w:space="0" w:color="auto"/>
              <w:bottom w:val="single" w:sz="4" w:space="0" w:color="auto"/>
              <w:right w:val="single" w:sz="4" w:space="0" w:color="auto"/>
            </w:tcBorders>
            <w:shd w:val="clear" w:color="auto" w:fill="FFFFFF"/>
            <w:noWrap/>
          </w:tcPr>
          <w:p w14:paraId="560C5815" w14:textId="77777777" w:rsidR="00916180" w:rsidRPr="003F5D96" w:rsidRDefault="00916180" w:rsidP="004C1C90">
            <w:pPr>
              <w:jc w:val="center"/>
              <w:rPr>
                <w:rFonts w:ascii="Verdana" w:hAnsi="Verdana" w:cs="Arial"/>
                <w:sz w:val="16"/>
                <w:szCs w:val="16"/>
                <w:lang w:eastAsia="en-GB"/>
              </w:rPr>
            </w:pPr>
            <w:r w:rsidRPr="00A751F5">
              <w:rPr>
                <w:rFonts w:ascii="Verdana" w:hAnsi="Verdana" w:cs="Arial"/>
                <w:sz w:val="16"/>
                <w:szCs w:val="16"/>
                <w:lang w:eastAsia="en-GB"/>
              </w:rPr>
              <w:t>Y</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29C0A0D" w14:textId="77777777" w:rsidR="00916180" w:rsidRPr="00A60AFC" w:rsidRDefault="00916180" w:rsidP="004C1C90">
            <w:pPr>
              <w:jc w:val="center"/>
              <w:rPr>
                <w:rFonts w:ascii="Verdana" w:hAnsi="Verdana" w:cs="Arial"/>
                <w:sz w:val="16"/>
                <w:szCs w:val="16"/>
                <w:lang w:eastAsia="en-GB"/>
              </w:rPr>
            </w:pPr>
            <w:r w:rsidRPr="00A60AFC">
              <w:rPr>
                <w:rFonts w:ascii="Verdana" w:hAnsi="Verdana" w:cs="Arial"/>
                <w:sz w:val="16"/>
                <w:szCs w:val="16"/>
                <w:lang w:eastAsia="en-GB"/>
              </w:rPr>
              <w:t>Y</w:t>
            </w:r>
          </w:p>
        </w:tc>
        <w:tc>
          <w:tcPr>
            <w:tcW w:w="8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3A6832"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3</w:t>
            </w:r>
          </w:p>
        </w:tc>
        <w:tc>
          <w:tcPr>
            <w:tcW w:w="1310" w:type="dxa"/>
            <w:gridSpan w:val="2"/>
            <w:tcBorders>
              <w:top w:val="single" w:sz="4" w:space="0" w:color="auto"/>
              <w:left w:val="nil"/>
              <w:bottom w:val="single" w:sz="4" w:space="0" w:color="auto"/>
              <w:right w:val="nil"/>
            </w:tcBorders>
            <w:shd w:val="clear" w:color="auto" w:fill="FFFFFF"/>
          </w:tcPr>
          <w:p w14:paraId="06BC06FB" w14:textId="77777777" w:rsidR="00916180" w:rsidRDefault="00916180" w:rsidP="004C1C90">
            <w:pPr>
              <w:jc w:val="center"/>
              <w:rPr>
                <w:rFonts w:ascii="Verdana" w:hAnsi="Verdana" w:cs="Arial"/>
                <w:b/>
                <w:bCs/>
                <w:sz w:val="16"/>
                <w:szCs w:val="16"/>
                <w:lang w:eastAsia="en-GB"/>
              </w:rPr>
            </w:pPr>
          </w:p>
          <w:p w14:paraId="7664833A"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3</w:t>
            </w:r>
          </w:p>
        </w:tc>
        <w:tc>
          <w:tcPr>
            <w:tcW w:w="89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0B432E" w14:textId="77777777" w:rsidR="00916180" w:rsidRPr="003F5D96" w:rsidRDefault="00916180" w:rsidP="004C1C90">
            <w:pPr>
              <w:jc w:val="center"/>
              <w:rPr>
                <w:rFonts w:ascii="Verdana" w:hAnsi="Verdana" w:cs="Arial"/>
                <w:b/>
                <w:bCs/>
                <w:sz w:val="16"/>
                <w:szCs w:val="16"/>
                <w:lang w:eastAsia="en-GB"/>
              </w:rPr>
            </w:pPr>
            <w:r w:rsidRPr="003F5D96">
              <w:rPr>
                <w:rFonts w:ascii="Verdana" w:hAnsi="Verdana" w:cs="Arial"/>
                <w:b/>
                <w:bCs/>
                <w:sz w:val="16"/>
                <w:szCs w:val="16"/>
                <w:lang w:eastAsia="en-GB"/>
              </w:rPr>
              <w:t>100%</w:t>
            </w:r>
          </w:p>
        </w:tc>
      </w:tr>
      <w:tr w:rsidR="00916180" w:rsidRPr="003F5D96" w14:paraId="4306C453" w14:textId="77777777" w:rsidTr="004C1C90">
        <w:trPr>
          <w:trHeight w:val="225"/>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4394B924" w14:textId="77777777" w:rsidR="00916180" w:rsidRPr="003F5D96" w:rsidRDefault="00916180" w:rsidP="004C1C90">
            <w:pPr>
              <w:jc w:val="center"/>
              <w:rPr>
                <w:rFonts w:ascii="Verdana" w:hAnsi="Verdana" w:cs="Arial"/>
                <w:sz w:val="16"/>
                <w:szCs w:val="16"/>
                <w:lang w:eastAsia="en-GB"/>
              </w:rPr>
            </w:pPr>
            <w:r w:rsidRPr="003F5D96">
              <w:rPr>
                <w:rFonts w:ascii="Verdana" w:hAnsi="Verdana" w:cs="Arial"/>
                <w:sz w:val="16"/>
                <w:szCs w:val="16"/>
                <w:lang w:eastAsia="en-GB"/>
              </w:rPr>
              <w:t>Neil Yeomans</w:t>
            </w:r>
          </w:p>
        </w:tc>
        <w:tc>
          <w:tcPr>
            <w:tcW w:w="1695" w:type="dxa"/>
            <w:tcBorders>
              <w:top w:val="single" w:sz="4" w:space="0" w:color="auto"/>
              <w:left w:val="single" w:sz="4" w:space="0" w:color="auto"/>
              <w:bottom w:val="single" w:sz="4" w:space="0" w:color="auto"/>
              <w:right w:val="single" w:sz="4" w:space="0" w:color="auto"/>
            </w:tcBorders>
            <w:shd w:val="clear" w:color="auto" w:fill="FFFFFF"/>
            <w:noWrap/>
          </w:tcPr>
          <w:p w14:paraId="3B8F7112" w14:textId="77777777"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Y</w:t>
            </w:r>
          </w:p>
        </w:tc>
        <w:tc>
          <w:tcPr>
            <w:tcW w:w="973" w:type="dxa"/>
            <w:tcBorders>
              <w:top w:val="single" w:sz="4" w:space="0" w:color="auto"/>
              <w:left w:val="single" w:sz="4" w:space="0" w:color="auto"/>
              <w:bottom w:val="single" w:sz="4" w:space="0" w:color="auto"/>
              <w:right w:val="single" w:sz="4" w:space="0" w:color="auto"/>
            </w:tcBorders>
            <w:shd w:val="clear" w:color="auto" w:fill="FFFFFF"/>
            <w:noWrap/>
          </w:tcPr>
          <w:p w14:paraId="08F194F6" w14:textId="77777777" w:rsidR="00916180" w:rsidRPr="003F5D96" w:rsidRDefault="00916180" w:rsidP="004C1C90">
            <w:pPr>
              <w:jc w:val="center"/>
              <w:rPr>
                <w:rFonts w:ascii="Verdana" w:hAnsi="Verdana" w:cs="Arial"/>
                <w:sz w:val="16"/>
                <w:szCs w:val="16"/>
                <w:lang w:eastAsia="en-GB"/>
              </w:rPr>
            </w:pPr>
            <w:r w:rsidRPr="00A751F5">
              <w:rPr>
                <w:rFonts w:ascii="Verdana" w:hAnsi="Verdana" w:cs="Arial"/>
                <w:sz w:val="16"/>
                <w:szCs w:val="16"/>
                <w:lang w:eastAsia="en-GB"/>
              </w:rPr>
              <w:t>Y</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6EC578B" w14:textId="77777777" w:rsidR="00916180" w:rsidRPr="00A60AFC" w:rsidRDefault="00916180" w:rsidP="004C1C90">
            <w:pPr>
              <w:jc w:val="center"/>
              <w:rPr>
                <w:rFonts w:ascii="Verdana" w:hAnsi="Verdana" w:cs="Arial"/>
                <w:sz w:val="16"/>
                <w:szCs w:val="16"/>
                <w:lang w:eastAsia="en-GB"/>
              </w:rPr>
            </w:pPr>
            <w:r w:rsidRPr="00A60AFC">
              <w:rPr>
                <w:rFonts w:ascii="Verdana" w:hAnsi="Verdana" w:cs="Arial"/>
                <w:sz w:val="16"/>
                <w:szCs w:val="16"/>
                <w:lang w:eastAsia="en-GB"/>
              </w:rPr>
              <w:t>Y</w:t>
            </w:r>
          </w:p>
        </w:tc>
        <w:tc>
          <w:tcPr>
            <w:tcW w:w="840" w:type="dxa"/>
            <w:tcBorders>
              <w:top w:val="nil"/>
              <w:left w:val="single" w:sz="4" w:space="0" w:color="auto"/>
              <w:bottom w:val="single" w:sz="4" w:space="0" w:color="auto"/>
              <w:right w:val="single" w:sz="4" w:space="0" w:color="auto"/>
            </w:tcBorders>
            <w:shd w:val="clear" w:color="auto" w:fill="FFFFFF"/>
            <w:noWrap/>
            <w:vAlign w:val="bottom"/>
            <w:hideMark/>
          </w:tcPr>
          <w:p w14:paraId="23E72F7D"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3</w:t>
            </w:r>
          </w:p>
        </w:tc>
        <w:tc>
          <w:tcPr>
            <w:tcW w:w="1310" w:type="dxa"/>
            <w:gridSpan w:val="2"/>
            <w:tcBorders>
              <w:top w:val="single" w:sz="4" w:space="0" w:color="auto"/>
              <w:left w:val="nil"/>
              <w:bottom w:val="nil"/>
              <w:right w:val="nil"/>
            </w:tcBorders>
            <w:shd w:val="clear" w:color="auto" w:fill="FFFFFF"/>
          </w:tcPr>
          <w:p w14:paraId="77158687"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3</w:t>
            </w:r>
          </w:p>
        </w:tc>
        <w:tc>
          <w:tcPr>
            <w:tcW w:w="897" w:type="dxa"/>
            <w:tcBorders>
              <w:top w:val="nil"/>
              <w:left w:val="single" w:sz="4" w:space="0" w:color="auto"/>
              <w:bottom w:val="single" w:sz="4" w:space="0" w:color="auto"/>
              <w:right w:val="single" w:sz="4" w:space="0" w:color="auto"/>
            </w:tcBorders>
            <w:shd w:val="clear" w:color="auto" w:fill="FFFFFF"/>
            <w:noWrap/>
            <w:vAlign w:val="bottom"/>
            <w:hideMark/>
          </w:tcPr>
          <w:p w14:paraId="0FD6EB1F" w14:textId="77777777" w:rsidR="00916180" w:rsidRPr="003F5D96" w:rsidRDefault="00916180" w:rsidP="004C1C90">
            <w:pPr>
              <w:jc w:val="center"/>
              <w:rPr>
                <w:rFonts w:ascii="Verdana" w:hAnsi="Verdana" w:cs="Arial"/>
                <w:b/>
                <w:bCs/>
                <w:sz w:val="16"/>
                <w:szCs w:val="16"/>
                <w:lang w:eastAsia="en-GB"/>
              </w:rPr>
            </w:pPr>
            <w:r w:rsidRPr="003F5D96">
              <w:rPr>
                <w:rFonts w:ascii="Verdana" w:hAnsi="Verdana" w:cs="Arial"/>
                <w:b/>
                <w:bCs/>
                <w:sz w:val="16"/>
                <w:szCs w:val="16"/>
                <w:lang w:eastAsia="en-GB"/>
              </w:rPr>
              <w:t>100%</w:t>
            </w:r>
          </w:p>
        </w:tc>
      </w:tr>
      <w:tr w:rsidR="00916180" w:rsidRPr="003F5D96" w14:paraId="7967FBAD" w14:textId="77777777" w:rsidTr="004C1C90">
        <w:trPr>
          <w:trHeight w:val="225"/>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75A6899A" w14:textId="77777777"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Richard Smith Morgan</w:t>
            </w:r>
          </w:p>
        </w:tc>
        <w:tc>
          <w:tcPr>
            <w:tcW w:w="169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F9D6E7" w14:textId="5EBE24DC"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w:t>
            </w:r>
          </w:p>
        </w:tc>
        <w:tc>
          <w:tcPr>
            <w:tcW w:w="973" w:type="dxa"/>
            <w:tcBorders>
              <w:top w:val="single" w:sz="4" w:space="0" w:color="auto"/>
              <w:left w:val="nil"/>
              <w:bottom w:val="single" w:sz="4" w:space="0" w:color="auto"/>
              <w:right w:val="single" w:sz="4" w:space="0" w:color="auto"/>
            </w:tcBorders>
            <w:shd w:val="clear" w:color="auto" w:fill="FFFFFF"/>
            <w:noWrap/>
            <w:vAlign w:val="bottom"/>
          </w:tcPr>
          <w:p w14:paraId="5BB61C6E" w14:textId="77777777"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Y</w:t>
            </w:r>
          </w:p>
        </w:tc>
        <w:tc>
          <w:tcPr>
            <w:tcW w:w="835" w:type="dxa"/>
            <w:tcBorders>
              <w:top w:val="single" w:sz="4" w:space="0" w:color="auto"/>
              <w:left w:val="nil"/>
              <w:bottom w:val="single" w:sz="4" w:space="0" w:color="auto"/>
              <w:right w:val="single" w:sz="4" w:space="0" w:color="auto"/>
            </w:tcBorders>
            <w:shd w:val="clear" w:color="auto" w:fill="FFFFFF"/>
          </w:tcPr>
          <w:p w14:paraId="746D90DC" w14:textId="77777777" w:rsidR="00916180" w:rsidRDefault="00916180" w:rsidP="004C1C90">
            <w:pPr>
              <w:jc w:val="center"/>
              <w:rPr>
                <w:rFonts w:ascii="Verdana" w:hAnsi="Verdana" w:cs="Arial"/>
                <w:sz w:val="16"/>
                <w:szCs w:val="16"/>
                <w:lang w:eastAsia="en-GB"/>
              </w:rPr>
            </w:pPr>
          </w:p>
          <w:p w14:paraId="2A5B2D27" w14:textId="77777777" w:rsidR="00916180" w:rsidRPr="00A60AFC" w:rsidRDefault="00916180" w:rsidP="004C1C90">
            <w:pPr>
              <w:jc w:val="center"/>
              <w:rPr>
                <w:rFonts w:ascii="Verdana" w:hAnsi="Verdana" w:cs="Arial"/>
                <w:sz w:val="16"/>
                <w:szCs w:val="16"/>
                <w:lang w:eastAsia="en-GB"/>
              </w:rPr>
            </w:pPr>
            <w:r w:rsidRPr="00A60AFC">
              <w:rPr>
                <w:rFonts w:ascii="Verdana" w:hAnsi="Verdana" w:cs="Arial"/>
                <w:sz w:val="16"/>
                <w:szCs w:val="16"/>
                <w:lang w:eastAsia="en-GB"/>
              </w:rPr>
              <w:t>Y</w:t>
            </w:r>
          </w:p>
        </w:tc>
        <w:tc>
          <w:tcPr>
            <w:tcW w:w="840" w:type="dxa"/>
            <w:tcBorders>
              <w:top w:val="nil"/>
              <w:left w:val="single" w:sz="4" w:space="0" w:color="auto"/>
              <w:bottom w:val="single" w:sz="4" w:space="0" w:color="auto"/>
              <w:right w:val="single" w:sz="4" w:space="0" w:color="auto"/>
            </w:tcBorders>
            <w:shd w:val="clear" w:color="auto" w:fill="FFFFFF"/>
            <w:noWrap/>
            <w:vAlign w:val="bottom"/>
          </w:tcPr>
          <w:p w14:paraId="06DFF3EF" w14:textId="77777777" w:rsidR="00916180" w:rsidRPr="00191ECB" w:rsidRDefault="00916180" w:rsidP="004C1C90">
            <w:pPr>
              <w:jc w:val="center"/>
              <w:rPr>
                <w:rFonts w:ascii="Verdana" w:hAnsi="Verdana" w:cs="Arial"/>
                <w:b/>
                <w:bCs/>
                <w:sz w:val="16"/>
                <w:szCs w:val="16"/>
                <w:lang w:eastAsia="en-GB"/>
              </w:rPr>
            </w:pPr>
            <w:r w:rsidRPr="00191ECB">
              <w:rPr>
                <w:rFonts w:ascii="Verdana" w:hAnsi="Verdana" w:cs="Arial"/>
                <w:b/>
                <w:bCs/>
                <w:sz w:val="16"/>
                <w:szCs w:val="16"/>
                <w:lang w:eastAsia="en-GB"/>
              </w:rPr>
              <w:t>2</w:t>
            </w:r>
          </w:p>
        </w:tc>
        <w:tc>
          <w:tcPr>
            <w:tcW w:w="1310" w:type="dxa"/>
            <w:gridSpan w:val="2"/>
            <w:tcBorders>
              <w:top w:val="single" w:sz="4" w:space="0" w:color="auto"/>
              <w:left w:val="nil"/>
              <w:bottom w:val="single" w:sz="4" w:space="0" w:color="auto"/>
              <w:right w:val="single" w:sz="4" w:space="0" w:color="auto"/>
            </w:tcBorders>
          </w:tcPr>
          <w:p w14:paraId="589DC53B" w14:textId="77777777" w:rsidR="00916180" w:rsidRPr="00191ECB" w:rsidRDefault="00916180" w:rsidP="004C1C90">
            <w:pPr>
              <w:jc w:val="center"/>
              <w:rPr>
                <w:rFonts w:ascii="Verdana" w:hAnsi="Verdana" w:cs="Arial"/>
                <w:b/>
                <w:bCs/>
                <w:sz w:val="16"/>
                <w:szCs w:val="16"/>
                <w:lang w:eastAsia="en-GB"/>
              </w:rPr>
            </w:pPr>
          </w:p>
          <w:p w14:paraId="37A4451F" w14:textId="77777777" w:rsidR="00916180" w:rsidRPr="00191ECB" w:rsidRDefault="00916180" w:rsidP="004C1C90">
            <w:pPr>
              <w:jc w:val="center"/>
              <w:rPr>
                <w:rFonts w:ascii="Verdana" w:hAnsi="Verdana" w:cs="Arial"/>
                <w:b/>
                <w:bCs/>
                <w:sz w:val="16"/>
                <w:szCs w:val="16"/>
                <w:lang w:eastAsia="en-GB"/>
              </w:rPr>
            </w:pPr>
            <w:r w:rsidRPr="00191ECB">
              <w:rPr>
                <w:rFonts w:ascii="Verdana" w:hAnsi="Verdana" w:cs="Arial"/>
                <w:b/>
                <w:bCs/>
                <w:sz w:val="16"/>
                <w:szCs w:val="16"/>
                <w:lang w:eastAsia="en-GB"/>
              </w:rPr>
              <w:t>2</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C8430" w14:textId="77777777" w:rsidR="00916180" w:rsidRPr="00191ECB" w:rsidRDefault="00916180" w:rsidP="004C1C90">
            <w:pPr>
              <w:jc w:val="center"/>
              <w:rPr>
                <w:rFonts w:ascii="Verdana" w:hAnsi="Verdana" w:cs="Arial"/>
                <w:b/>
                <w:bCs/>
                <w:sz w:val="16"/>
                <w:szCs w:val="16"/>
                <w:lang w:eastAsia="en-GB"/>
              </w:rPr>
            </w:pPr>
            <w:r w:rsidRPr="00191ECB">
              <w:rPr>
                <w:rFonts w:ascii="Verdana" w:hAnsi="Verdana" w:cs="Arial"/>
                <w:b/>
                <w:bCs/>
                <w:sz w:val="16"/>
                <w:szCs w:val="16"/>
                <w:lang w:eastAsia="en-GB"/>
              </w:rPr>
              <w:t>100%</w:t>
            </w:r>
          </w:p>
        </w:tc>
      </w:tr>
      <w:tr w:rsidR="00916180" w:rsidRPr="003F5D96" w14:paraId="4EAE255F" w14:textId="77777777" w:rsidTr="004C1C90">
        <w:trPr>
          <w:trHeight w:val="225"/>
        </w:trPr>
        <w:tc>
          <w:tcPr>
            <w:tcW w:w="1361" w:type="dxa"/>
            <w:tcBorders>
              <w:top w:val="single" w:sz="4" w:space="0" w:color="auto"/>
              <w:left w:val="single" w:sz="4" w:space="0" w:color="auto"/>
              <w:bottom w:val="single" w:sz="4" w:space="0" w:color="auto"/>
              <w:right w:val="single" w:sz="4" w:space="0" w:color="auto"/>
            </w:tcBorders>
            <w:shd w:val="clear" w:color="auto" w:fill="FFFFFF"/>
          </w:tcPr>
          <w:p w14:paraId="252F1EAD" w14:textId="77777777" w:rsidR="00916180" w:rsidRPr="003F5D96" w:rsidRDefault="00916180" w:rsidP="004C1C90">
            <w:pPr>
              <w:jc w:val="center"/>
              <w:rPr>
                <w:rFonts w:ascii="Verdana" w:hAnsi="Verdana" w:cs="Arial"/>
                <w:sz w:val="16"/>
                <w:szCs w:val="16"/>
                <w:lang w:eastAsia="en-GB"/>
              </w:rPr>
            </w:pPr>
            <w:r w:rsidRPr="003F5D96">
              <w:rPr>
                <w:rFonts w:ascii="Verdana" w:hAnsi="Verdana" w:cs="Arial"/>
                <w:sz w:val="16"/>
                <w:szCs w:val="16"/>
                <w:lang w:eastAsia="en-GB"/>
              </w:rPr>
              <w:t>Actual</w:t>
            </w:r>
          </w:p>
        </w:tc>
        <w:tc>
          <w:tcPr>
            <w:tcW w:w="169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B88C05" w14:textId="3F98FE7D"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3</w:t>
            </w:r>
          </w:p>
        </w:tc>
        <w:tc>
          <w:tcPr>
            <w:tcW w:w="973" w:type="dxa"/>
            <w:tcBorders>
              <w:top w:val="single" w:sz="4" w:space="0" w:color="auto"/>
              <w:left w:val="nil"/>
              <w:bottom w:val="single" w:sz="4" w:space="0" w:color="auto"/>
              <w:right w:val="single" w:sz="4" w:space="0" w:color="auto"/>
            </w:tcBorders>
            <w:shd w:val="clear" w:color="auto" w:fill="FFFFFF"/>
            <w:noWrap/>
            <w:vAlign w:val="bottom"/>
          </w:tcPr>
          <w:p w14:paraId="11E06600" w14:textId="08C369E7"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4</w:t>
            </w:r>
          </w:p>
        </w:tc>
        <w:tc>
          <w:tcPr>
            <w:tcW w:w="835" w:type="dxa"/>
            <w:tcBorders>
              <w:top w:val="single" w:sz="4" w:space="0" w:color="auto"/>
              <w:left w:val="nil"/>
              <w:bottom w:val="single" w:sz="4" w:space="0" w:color="auto"/>
              <w:right w:val="single" w:sz="4" w:space="0" w:color="auto"/>
            </w:tcBorders>
            <w:shd w:val="clear" w:color="auto" w:fill="FFFFFF"/>
          </w:tcPr>
          <w:p w14:paraId="68B5BABB" w14:textId="7DD1D788"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4</w:t>
            </w:r>
          </w:p>
        </w:tc>
        <w:tc>
          <w:tcPr>
            <w:tcW w:w="840" w:type="dxa"/>
            <w:tcBorders>
              <w:top w:val="nil"/>
              <w:left w:val="single" w:sz="4" w:space="0" w:color="auto"/>
              <w:bottom w:val="single" w:sz="4" w:space="0" w:color="auto"/>
              <w:right w:val="single" w:sz="4" w:space="0" w:color="auto"/>
            </w:tcBorders>
            <w:shd w:val="clear" w:color="auto" w:fill="FFFFFF"/>
            <w:noWrap/>
            <w:vAlign w:val="bottom"/>
          </w:tcPr>
          <w:p w14:paraId="1EC982A2" w14:textId="77777777" w:rsidR="00916180" w:rsidRPr="003F5D96" w:rsidRDefault="00916180" w:rsidP="004C1C90">
            <w:pPr>
              <w:jc w:val="center"/>
              <w:rPr>
                <w:rFonts w:ascii="Verdana" w:hAnsi="Verdana" w:cs="Arial"/>
                <w:sz w:val="16"/>
                <w:szCs w:val="16"/>
                <w:lang w:eastAsia="en-GB"/>
              </w:rPr>
            </w:pPr>
          </w:p>
        </w:tc>
        <w:tc>
          <w:tcPr>
            <w:tcW w:w="610" w:type="dxa"/>
            <w:tcBorders>
              <w:top w:val="single" w:sz="4" w:space="0" w:color="auto"/>
              <w:left w:val="nil"/>
              <w:bottom w:val="single" w:sz="4" w:space="0" w:color="auto"/>
              <w:right w:val="nil"/>
            </w:tcBorders>
          </w:tcPr>
          <w:p w14:paraId="33A54D81" w14:textId="77777777" w:rsidR="00916180" w:rsidRPr="003F5D96" w:rsidRDefault="00916180" w:rsidP="004C1C90">
            <w:pPr>
              <w:jc w:val="center"/>
              <w:rPr>
                <w:rFonts w:ascii="Verdana" w:hAnsi="Verdana" w:cs="Arial"/>
                <w:sz w:val="16"/>
                <w:szCs w:val="16"/>
                <w:lang w:eastAsia="en-GB"/>
              </w:rPr>
            </w:pP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79B20BB" w14:textId="77777777" w:rsidR="00916180" w:rsidRPr="003F5D96" w:rsidRDefault="00916180" w:rsidP="004C1C90">
            <w:pPr>
              <w:jc w:val="center"/>
              <w:rPr>
                <w:rFonts w:ascii="Verdana" w:hAnsi="Verdana" w:cs="Arial"/>
                <w:sz w:val="16"/>
                <w:szCs w:val="16"/>
                <w:lang w:eastAsia="en-GB"/>
              </w:rPr>
            </w:pPr>
            <w:r w:rsidRPr="003F5D96">
              <w:rPr>
                <w:rFonts w:ascii="Verdana" w:hAnsi="Verdana" w:cs="Arial"/>
                <w:sz w:val="16"/>
                <w:szCs w:val="16"/>
                <w:lang w:eastAsia="en-GB"/>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3A217" w14:textId="77777777" w:rsidR="00916180" w:rsidRPr="003F5D96" w:rsidRDefault="00916180" w:rsidP="004C1C90">
            <w:pPr>
              <w:jc w:val="center"/>
              <w:rPr>
                <w:rFonts w:ascii="Verdana" w:hAnsi="Verdana" w:cs="Arial"/>
                <w:sz w:val="16"/>
                <w:szCs w:val="16"/>
                <w:lang w:eastAsia="en-GB"/>
              </w:rPr>
            </w:pPr>
            <w:r w:rsidRPr="003F5D96">
              <w:rPr>
                <w:rFonts w:ascii="Verdana" w:hAnsi="Verdana" w:cs="Arial"/>
                <w:sz w:val="16"/>
                <w:szCs w:val="16"/>
                <w:lang w:eastAsia="en-GB"/>
              </w:rPr>
              <w:t> </w:t>
            </w:r>
          </w:p>
        </w:tc>
      </w:tr>
      <w:tr w:rsidR="00916180" w:rsidRPr="003F5D96" w14:paraId="296F24D8" w14:textId="77777777" w:rsidTr="004C1C90">
        <w:trPr>
          <w:trHeight w:val="225"/>
        </w:trPr>
        <w:tc>
          <w:tcPr>
            <w:tcW w:w="1361" w:type="dxa"/>
            <w:tcBorders>
              <w:top w:val="nil"/>
              <w:left w:val="single" w:sz="4" w:space="0" w:color="auto"/>
              <w:bottom w:val="single" w:sz="4" w:space="0" w:color="auto"/>
              <w:right w:val="single" w:sz="4" w:space="0" w:color="auto"/>
            </w:tcBorders>
            <w:shd w:val="clear" w:color="auto" w:fill="FFFFFF"/>
          </w:tcPr>
          <w:p w14:paraId="09DC7F43" w14:textId="77777777" w:rsidR="00916180" w:rsidRPr="003F5D96" w:rsidRDefault="00916180" w:rsidP="004C1C90">
            <w:pPr>
              <w:jc w:val="center"/>
              <w:rPr>
                <w:rFonts w:ascii="Verdana" w:hAnsi="Verdana" w:cs="Arial"/>
                <w:sz w:val="16"/>
                <w:szCs w:val="16"/>
                <w:lang w:eastAsia="en-GB"/>
              </w:rPr>
            </w:pPr>
            <w:r w:rsidRPr="003F5D96">
              <w:rPr>
                <w:rFonts w:ascii="Verdana" w:hAnsi="Verdana" w:cs="Arial"/>
                <w:sz w:val="16"/>
                <w:szCs w:val="16"/>
                <w:lang w:eastAsia="en-GB"/>
              </w:rPr>
              <w:t>Possible</w:t>
            </w:r>
          </w:p>
        </w:tc>
        <w:tc>
          <w:tcPr>
            <w:tcW w:w="1695" w:type="dxa"/>
            <w:tcBorders>
              <w:top w:val="nil"/>
              <w:left w:val="single" w:sz="4" w:space="0" w:color="auto"/>
              <w:bottom w:val="single" w:sz="4" w:space="0" w:color="auto"/>
              <w:right w:val="single" w:sz="4" w:space="0" w:color="auto"/>
            </w:tcBorders>
            <w:shd w:val="clear" w:color="auto" w:fill="FFFFFF"/>
            <w:noWrap/>
            <w:vAlign w:val="bottom"/>
          </w:tcPr>
          <w:p w14:paraId="6B0AE755" w14:textId="6B67D0D5"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3</w:t>
            </w:r>
          </w:p>
        </w:tc>
        <w:tc>
          <w:tcPr>
            <w:tcW w:w="973" w:type="dxa"/>
            <w:tcBorders>
              <w:top w:val="nil"/>
              <w:left w:val="nil"/>
              <w:bottom w:val="single" w:sz="4" w:space="0" w:color="auto"/>
              <w:right w:val="single" w:sz="4" w:space="0" w:color="auto"/>
            </w:tcBorders>
            <w:shd w:val="clear" w:color="auto" w:fill="FFFFFF"/>
            <w:noWrap/>
            <w:vAlign w:val="bottom"/>
          </w:tcPr>
          <w:p w14:paraId="1C599859" w14:textId="4BC27365"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4</w:t>
            </w:r>
          </w:p>
        </w:tc>
        <w:tc>
          <w:tcPr>
            <w:tcW w:w="835" w:type="dxa"/>
            <w:tcBorders>
              <w:top w:val="single" w:sz="4" w:space="0" w:color="auto"/>
              <w:left w:val="nil"/>
              <w:bottom w:val="single" w:sz="4" w:space="0" w:color="auto"/>
              <w:right w:val="single" w:sz="4" w:space="0" w:color="auto"/>
            </w:tcBorders>
            <w:shd w:val="clear" w:color="auto" w:fill="FFFFFF"/>
          </w:tcPr>
          <w:p w14:paraId="34365A89" w14:textId="7646878C" w:rsidR="00916180" w:rsidRPr="003F5D96" w:rsidRDefault="00916180" w:rsidP="004C1C90">
            <w:pPr>
              <w:jc w:val="center"/>
              <w:rPr>
                <w:rFonts w:ascii="Verdana" w:hAnsi="Verdana" w:cs="Arial"/>
                <w:sz w:val="16"/>
                <w:szCs w:val="16"/>
                <w:lang w:eastAsia="en-GB"/>
              </w:rPr>
            </w:pPr>
            <w:r>
              <w:rPr>
                <w:rFonts w:ascii="Verdana" w:hAnsi="Verdana" w:cs="Arial"/>
                <w:sz w:val="16"/>
                <w:szCs w:val="16"/>
                <w:lang w:eastAsia="en-GB"/>
              </w:rPr>
              <w:t>4</w:t>
            </w:r>
          </w:p>
        </w:tc>
        <w:tc>
          <w:tcPr>
            <w:tcW w:w="840" w:type="dxa"/>
            <w:tcBorders>
              <w:top w:val="nil"/>
              <w:left w:val="single" w:sz="4" w:space="0" w:color="auto"/>
              <w:bottom w:val="single" w:sz="4" w:space="0" w:color="auto"/>
              <w:right w:val="single" w:sz="4" w:space="0" w:color="auto"/>
            </w:tcBorders>
            <w:shd w:val="clear" w:color="auto" w:fill="FFFFFF"/>
            <w:noWrap/>
            <w:vAlign w:val="bottom"/>
          </w:tcPr>
          <w:p w14:paraId="243C0932" w14:textId="77777777" w:rsidR="00916180" w:rsidRPr="003F5D96" w:rsidRDefault="00916180" w:rsidP="004C1C90">
            <w:pPr>
              <w:jc w:val="center"/>
              <w:rPr>
                <w:rFonts w:ascii="Verdana" w:hAnsi="Verdana" w:cs="Arial"/>
                <w:sz w:val="16"/>
                <w:szCs w:val="16"/>
                <w:lang w:eastAsia="en-GB"/>
              </w:rPr>
            </w:pPr>
          </w:p>
        </w:tc>
        <w:tc>
          <w:tcPr>
            <w:tcW w:w="610" w:type="dxa"/>
            <w:tcBorders>
              <w:top w:val="single" w:sz="4" w:space="0" w:color="auto"/>
              <w:left w:val="nil"/>
              <w:bottom w:val="single" w:sz="4" w:space="0" w:color="auto"/>
              <w:right w:val="nil"/>
            </w:tcBorders>
          </w:tcPr>
          <w:p w14:paraId="2E398B52" w14:textId="77777777" w:rsidR="00916180" w:rsidRPr="003F5D96" w:rsidRDefault="00916180" w:rsidP="004C1C90">
            <w:pPr>
              <w:jc w:val="center"/>
              <w:rPr>
                <w:rFonts w:ascii="Verdana" w:hAnsi="Verdana" w:cs="Arial"/>
                <w:sz w:val="16"/>
                <w:szCs w:val="16"/>
                <w:lang w:eastAsia="en-GB"/>
              </w:rPr>
            </w:pP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0A29F8E" w14:textId="77777777" w:rsidR="00916180" w:rsidRPr="003F5D96" w:rsidRDefault="00916180" w:rsidP="004C1C90">
            <w:pPr>
              <w:jc w:val="center"/>
              <w:rPr>
                <w:rFonts w:ascii="Verdana" w:hAnsi="Verdana" w:cs="Arial"/>
                <w:sz w:val="16"/>
                <w:szCs w:val="16"/>
                <w:lang w:eastAsia="en-GB"/>
              </w:rPr>
            </w:pPr>
            <w:r w:rsidRPr="003F5D96">
              <w:rPr>
                <w:rFonts w:ascii="Verdana" w:hAnsi="Verdana" w:cs="Arial"/>
                <w:sz w:val="16"/>
                <w:szCs w:val="16"/>
                <w:lang w:eastAsia="en-GB"/>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FF177" w14:textId="77777777" w:rsidR="00916180" w:rsidRPr="003F5D96" w:rsidRDefault="00916180" w:rsidP="004C1C90">
            <w:pPr>
              <w:jc w:val="center"/>
              <w:rPr>
                <w:rFonts w:ascii="Verdana" w:hAnsi="Verdana" w:cs="Arial"/>
                <w:sz w:val="16"/>
                <w:szCs w:val="16"/>
                <w:lang w:eastAsia="en-GB"/>
              </w:rPr>
            </w:pPr>
          </w:p>
        </w:tc>
      </w:tr>
      <w:tr w:rsidR="00916180" w:rsidRPr="003F5D96" w14:paraId="2D35BE17" w14:textId="77777777" w:rsidTr="004C1C90">
        <w:trPr>
          <w:trHeight w:val="225"/>
        </w:trPr>
        <w:tc>
          <w:tcPr>
            <w:tcW w:w="1361" w:type="dxa"/>
            <w:tcBorders>
              <w:top w:val="nil"/>
              <w:left w:val="single" w:sz="4" w:space="0" w:color="auto"/>
              <w:bottom w:val="single" w:sz="4" w:space="0" w:color="auto"/>
              <w:right w:val="single" w:sz="4" w:space="0" w:color="auto"/>
            </w:tcBorders>
            <w:shd w:val="clear" w:color="auto" w:fill="FFFFFF"/>
          </w:tcPr>
          <w:p w14:paraId="27E5384E" w14:textId="77777777" w:rsidR="00916180" w:rsidRPr="003F5D96" w:rsidRDefault="00916180" w:rsidP="004C1C90">
            <w:pPr>
              <w:jc w:val="center"/>
              <w:rPr>
                <w:rFonts w:ascii="Verdana" w:hAnsi="Verdana" w:cs="Arial"/>
                <w:b/>
                <w:bCs/>
                <w:sz w:val="16"/>
                <w:szCs w:val="16"/>
                <w:lang w:eastAsia="en-GB"/>
              </w:rPr>
            </w:pPr>
          </w:p>
        </w:tc>
        <w:tc>
          <w:tcPr>
            <w:tcW w:w="1695" w:type="dxa"/>
            <w:tcBorders>
              <w:top w:val="nil"/>
              <w:left w:val="single" w:sz="4" w:space="0" w:color="auto"/>
              <w:bottom w:val="single" w:sz="4" w:space="0" w:color="auto"/>
              <w:right w:val="single" w:sz="4" w:space="0" w:color="auto"/>
            </w:tcBorders>
            <w:shd w:val="clear" w:color="auto" w:fill="FFFFFF"/>
            <w:noWrap/>
            <w:vAlign w:val="bottom"/>
            <w:hideMark/>
          </w:tcPr>
          <w:p w14:paraId="1FADC6E7" w14:textId="77777777" w:rsidR="00916180" w:rsidRPr="003F5D96" w:rsidRDefault="00916180" w:rsidP="004C1C90">
            <w:pPr>
              <w:jc w:val="center"/>
              <w:rPr>
                <w:rFonts w:ascii="Verdana" w:hAnsi="Verdana" w:cs="Arial"/>
                <w:b/>
                <w:bCs/>
                <w:sz w:val="16"/>
                <w:szCs w:val="16"/>
                <w:lang w:eastAsia="en-GB"/>
              </w:rPr>
            </w:pPr>
            <w:r w:rsidRPr="003F5D96">
              <w:rPr>
                <w:rFonts w:ascii="Verdana" w:hAnsi="Verdana" w:cs="Arial"/>
                <w:b/>
                <w:bCs/>
                <w:sz w:val="16"/>
                <w:szCs w:val="16"/>
                <w:lang w:eastAsia="en-GB"/>
              </w:rPr>
              <w:t>100%</w:t>
            </w:r>
          </w:p>
        </w:tc>
        <w:tc>
          <w:tcPr>
            <w:tcW w:w="973" w:type="dxa"/>
            <w:tcBorders>
              <w:top w:val="nil"/>
              <w:left w:val="nil"/>
              <w:bottom w:val="single" w:sz="4" w:space="0" w:color="auto"/>
              <w:right w:val="single" w:sz="4" w:space="0" w:color="auto"/>
            </w:tcBorders>
            <w:shd w:val="clear" w:color="auto" w:fill="FFFFFF"/>
            <w:noWrap/>
            <w:vAlign w:val="bottom"/>
            <w:hideMark/>
          </w:tcPr>
          <w:p w14:paraId="68B45918"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100</w:t>
            </w:r>
            <w:r w:rsidRPr="003F5D96">
              <w:rPr>
                <w:rFonts w:ascii="Verdana" w:hAnsi="Verdana" w:cs="Arial"/>
                <w:b/>
                <w:bCs/>
                <w:sz w:val="16"/>
                <w:szCs w:val="16"/>
                <w:lang w:eastAsia="en-GB"/>
              </w:rPr>
              <w:t>%</w:t>
            </w:r>
          </w:p>
        </w:tc>
        <w:tc>
          <w:tcPr>
            <w:tcW w:w="835" w:type="dxa"/>
            <w:tcBorders>
              <w:top w:val="single" w:sz="4" w:space="0" w:color="auto"/>
              <w:left w:val="nil"/>
              <w:bottom w:val="single" w:sz="4" w:space="0" w:color="auto"/>
              <w:right w:val="single" w:sz="4" w:space="0" w:color="auto"/>
            </w:tcBorders>
            <w:shd w:val="clear" w:color="auto" w:fill="FFFFFF"/>
          </w:tcPr>
          <w:p w14:paraId="69CACB01"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100</w:t>
            </w:r>
            <w:r w:rsidRPr="003F5D96">
              <w:rPr>
                <w:rFonts w:ascii="Verdana" w:hAnsi="Verdana" w:cs="Arial"/>
                <w:b/>
                <w:bCs/>
                <w:sz w:val="16"/>
                <w:szCs w:val="16"/>
                <w:lang w:eastAsia="en-GB"/>
              </w:rPr>
              <w:t>%</w:t>
            </w:r>
          </w:p>
        </w:tc>
        <w:tc>
          <w:tcPr>
            <w:tcW w:w="840" w:type="dxa"/>
            <w:tcBorders>
              <w:top w:val="nil"/>
              <w:left w:val="single" w:sz="4" w:space="0" w:color="auto"/>
              <w:bottom w:val="single" w:sz="4" w:space="0" w:color="auto"/>
              <w:right w:val="single" w:sz="4" w:space="0" w:color="auto"/>
            </w:tcBorders>
            <w:shd w:val="clear" w:color="auto" w:fill="FFFFFF"/>
            <w:noWrap/>
            <w:vAlign w:val="bottom"/>
          </w:tcPr>
          <w:p w14:paraId="23DAC4AD" w14:textId="77777777" w:rsidR="00916180" w:rsidRPr="003F5D96" w:rsidRDefault="00916180" w:rsidP="004C1C90">
            <w:pPr>
              <w:jc w:val="center"/>
              <w:rPr>
                <w:rFonts w:ascii="Verdana" w:hAnsi="Verdana" w:cs="Arial"/>
                <w:b/>
                <w:bCs/>
                <w:sz w:val="16"/>
                <w:szCs w:val="16"/>
                <w:lang w:eastAsia="en-GB"/>
              </w:rPr>
            </w:pPr>
          </w:p>
        </w:tc>
        <w:tc>
          <w:tcPr>
            <w:tcW w:w="610" w:type="dxa"/>
            <w:tcBorders>
              <w:top w:val="single" w:sz="4" w:space="0" w:color="auto"/>
              <w:left w:val="nil"/>
              <w:bottom w:val="single" w:sz="4" w:space="0" w:color="auto"/>
              <w:right w:val="nil"/>
            </w:tcBorders>
          </w:tcPr>
          <w:p w14:paraId="1AB7D620" w14:textId="77777777" w:rsidR="00916180" w:rsidRPr="003F5D96" w:rsidRDefault="00916180" w:rsidP="004C1C90">
            <w:pPr>
              <w:jc w:val="center"/>
              <w:rPr>
                <w:rFonts w:ascii="Verdana" w:hAnsi="Verdana" w:cs="Arial"/>
                <w:b/>
                <w:bCs/>
                <w:sz w:val="16"/>
                <w:szCs w:val="16"/>
                <w:lang w:eastAsia="en-GB"/>
              </w:rPr>
            </w:pP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99E42B9" w14:textId="77777777" w:rsidR="00916180" w:rsidRPr="003F5D96" w:rsidRDefault="00916180" w:rsidP="004C1C90">
            <w:pPr>
              <w:jc w:val="center"/>
              <w:rPr>
                <w:rFonts w:ascii="Verdana" w:hAnsi="Verdana" w:cs="Arial"/>
                <w:b/>
                <w:bCs/>
                <w:sz w:val="16"/>
                <w:szCs w:val="16"/>
                <w:lang w:eastAsia="en-GB"/>
              </w:rPr>
            </w:pPr>
            <w:r w:rsidRPr="003F5D96">
              <w:rPr>
                <w:rFonts w:ascii="Verdana" w:hAnsi="Verdana" w:cs="Arial"/>
                <w:b/>
                <w:bCs/>
                <w:sz w:val="16"/>
                <w:szCs w:val="16"/>
                <w:lang w:eastAsia="en-GB"/>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2766A" w14:textId="77777777" w:rsidR="00916180" w:rsidRPr="003F5D96" w:rsidRDefault="00916180" w:rsidP="004C1C90">
            <w:pPr>
              <w:jc w:val="center"/>
              <w:rPr>
                <w:rFonts w:ascii="Verdana" w:hAnsi="Verdana" w:cs="Arial"/>
                <w:b/>
                <w:bCs/>
                <w:sz w:val="16"/>
                <w:szCs w:val="16"/>
                <w:lang w:eastAsia="en-GB"/>
              </w:rPr>
            </w:pPr>
            <w:r>
              <w:rPr>
                <w:rFonts w:ascii="Verdana" w:hAnsi="Verdana" w:cs="Arial"/>
                <w:b/>
                <w:bCs/>
                <w:sz w:val="16"/>
                <w:szCs w:val="16"/>
                <w:lang w:eastAsia="en-GB"/>
              </w:rPr>
              <w:t>100</w:t>
            </w:r>
            <w:r w:rsidRPr="003F5D96">
              <w:rPr>
                <w:rFonts w:ascii="Verdana" w:hAnsi="Verdana" w:cs="Arial"/>
                <w:b/>
                <w:bCs/>
                <w:sz w:val="16"/>
                <w:szCs w:val="16"/>
                <w:lang w:eastAsia="en-GB"/>
              </w:rPr>
              <w:t>% </w:t>
            </w:r>
          </w:p>
        </w:tc>
      </w:tr>
    </w:tbl>
    <w:p w14:paraId="01CA3C52" w14:textId="77777777" w:rsidR="00916180" w:rsidRPr="003F5D96" w:rsidRDefault="00916180" w:rsidP="00916180">
      <w:pPr>
        <w:tabs>
          <w:tab w:val="left" w:pos="567"/>
        </w:tabs>
        <w:autoSpaceDE w:val="0"/>
        <w:autoSpaceDN w:val="0"/>
        <w:adjustRightInd w:val="0"/>
        <w:spacing w:line="312" w:lineRule="auto"/>
        <w:ind w:left="567" w:hanging="425"/>
        <w:rPr>
          <w:rFonts w:ascii="Verdana" w:hAnsi="Verdana" w:cs="Helvetica-Bold"/>
          <w:bCs/>
          <w:sz w:val="20"/>
          <w:lang w:eastAsia="en-GB"/>
        </w:rPr>
      </w:pPr>
    </w:p>
    <w:p w14:paraId="4678BF99" w14:textId="77777777" w:rsidR="00916180" w:rsidRPr="003F5D96" w:rsidRDefault="00916180" w:rsidP="00916180">
      <w:pPr>
        <w:rPr>
          <w:rFonts w:ascii="Verdana" w:hAnsi="Verdana"/>
          <w:sz w:val="20"/>
          <w:u w:val="single"/>
          <w:lang w:eastAsia="en-GB"/>
        </w:rPr>
      </w:pPr>
      <w:r w:rsidRPr="003F5D96">
        <w:rPr>
          <w:rFonts w:ascii="Verdana" w:hAnsi="Verdana"/>
          <w:sz w:val="20"/>
          <w:u w:val="single"/>
          <w:lang w:eastAsia="en-GB"/>
        </w:rPr>
        <w:t>Senior Post Holders</w:t>
      </w:r>
    </w:p>
    <w:p w14:paraId="215B3810" w14:textId="77777777" w:rsidR="00916180" w:rsidRPr="003F5D96" w:rsidRDefault="00916180" w:rsidP="00916180">
      <w:pPr>
        <w:rPr>
          <w:rFonts w:ascii="Verdana" w:hAnsi="Verdana"/>
          <w:sz w:val="20"/>
          <w:lang w:eastAsia="en-GB"/>
        </w:rPr>
      </w:pPr>
      <w:r w:rsidRPr="003F5D96">
        <w:rPr>
          <w:rFonts w:ascii="Verdana" w:hAnsi="Verdana"/>
          <w:sz w:val="20"/>
          <w:lang w:eastAsia="en-GB"/>
        </w:rPr>
        <w:t>The roles designated as Senior Post Holders (SPH) and therefore within the remit of the Committee for 20</w:t>
      </w:r>
      <w:r>
        <w:rPr>
          <w:rFonts w:ascii="Verdana" w:hAnsi="Verdana"/>
          <w:sz w:val="20"/>
          <w:lang w:eastAsia="en-GB"/>
        </w:rPr>
        <w:t>23</w:t>
      </w:r>
      <w:r w:rsidRPr="003F5D96">
        <w:rPr>
          <w:rFonts w:ascii="Verdana" w:hAnsi="Verdana"/>
          <w:sz w:val="20"/>
          <w:lang w:eastAsia="en-GB"/>
        </w:rPr>
        <w:t>-2</w:t>
      </w:r>
      <w:r>
        <w:rPr>
          <w:rFonts w:ascii="Verdana" w:hAnsi="Verdana"/>
          <w:sz w:val="20"/>
          <w:lang w:eastAsia="en-GB"/>
        </w:rPr>
        <w:t>4</w:t>
      </w:r>
      <w:r w:rsidRPr="003F5D96">
        <w:rPr>
          <w:rFonts w:ascii="Verdana" w:hAnsi="Verdana"/>
          <w:sz w:val="20"/>
          <w:lang w:eastAsia="en-GB"/>
        </w:rPr>
        <w:t xml:space="preserve"> </w:t>
      </w:r>
      <w:r>
        <w:rPr>
          <w:rFonts w:ascii="Verdana" w:hAnsi="Verdana"/>
          <w:sz w:val="20"/>
          <w:lang w:eastAsia="en-GB"/>
        </w:rPr>
        <w:t>we</w:t>
      </w:r>
      <w:r w:rsidRPr="003F5D96">
        <w:rPr>
          <w:rFonts w:ascii="Verdana" w:hAnsi="Verdana"/>
          <w:sz w:val="20"/>
          <w:lang w:eastAsia="en-GB"/>
        </w:rPr>
        <w:t>re:</w:t>
      </w:r>
    </w:p>
    <w:p w14:paraId="4382825F" w14:textId="77777777" w:rsidR="00916180" w:rsidRDefault="00916180" w:rsidP="00916180">
      <w:pPr>
        <w:numPr>
          <w:ilvl w:val="0"/>
          <w:numId w:val="2"/>
        </w:numPr>
        <w:rPr>
          <w:rFonts w:ascii="Verdana" w:hAnsi="Verdana"/>
          <w:sz w:val="20"/>
          <w:lang w:eastAsia="en-GB"/>
        </w:rPr>
      </w:pPr>
      <w:r w:rsidRPr="003F5D96">
        <w:rPr>
          <w:rFonts w:ascii="Verdana" w:hAnsi="Verdana"/>
          <w:sz w:val="20"/>
          <w:lang w:eastAsia="en-GB"/>
        </w:rPr>
        <w:t>Group Principal &amp; CEO</w:t>
      </w:r>
    </w:p>
    <w:p w14:paraId="00D05813" w14:textId="77777777" w:rsidR="00916180" w:rsidRDefault="00916180" w:rsidP="00916180">
      <w:pPr>
        <w:numPr>
          <w:ilvl w:val="0"/>
          <w:numId w:val="2"/>
        </w:numPr>
        <w:rPr>
          <w:rFonts w:ascii="Verdana" w:hAnsi="Verdana"/>
          <w:sz w:val="20"/>
          <w:lang w:eastAsia="en-GB"/>
        </w:rPr>
      </w:pPr>
      <w:r w:rsidRPr="003F5D96">
        <w:rPr>
          <w:rFonts w:ascii="Verdana" w:hAnsi="Verdana"/>
          <w:sz w:val="20"/>
          <w:lang w:eastAsia="en-GB"/>
        </w:rPr>
        <w:t>Deputy CEO</w:t>
      </w:r>
      <w:r>
        <w:rPr>
          <w:rFonts w:ascii="Verdana" w:hAnsi="Verdana"/>
          <w:sz w:val="20"/>
          <w:lang w:eastAsia="en-GB"/>
        </w:rPr>
        <w:t xml:space="preserve"> – to May 2024</w:t>
      </w:r>
    </w:p>
    <w:p w14:paraId="53CF710C" w14:textId="77777777" w:rsidR="00916180" w:rsidRPr="003F5D96" w:rsidRDefault="00916180" w:rsidP="00916180">
      <w:pPr>
        <w:numPr>
          <w:ilvl w:val="0"/>
          <w:numId w:val="2"/>
        </w:numPr>
        <w:rPr>
          <w:rFonts w:ascii="Verdana" w:hAnsi="Verdana"/>
          <w:sz w:val="20"/>
          <w:lang w:eastAsia="en-GB"/>
        </w:rPr>
      </w:pPr>
      <w:r w:rsidRPr="003F5D96">
        <w:rPr>
          <w:rFonts w:ascii="Verdana" w:hAnsi="Verdana"/>
          <w:sz w:val="20"/>
          <w:lang w:eastAsia="en-GB"/>
        </w:rPr>
        <w:t>Director of Governance</w:t>
      </w:r>
    </w:p>
    <w:p w14:paraId="5830B047" w14:textId="77777777" w:rsidR="00916180" w:rsidRPr="003F5D96" w:rsidRDefault="00916180" w:rsidP="00916180">
      <w:pPr>
        <w:rPr>
          <w:rFonts w:ascii="Verdana" w:hAnsi="Verdana"/>
          <w:sz w:val="20"/>
          <w:lang w:eastAsia="en-GB"/>
        </w:rPr>
      </w:pPr>
    </w:p>
    <w:p w14:paraId="5EE76DB5" w14:textId="77777777" w:rsidR="00916180" w:rsidRPr="003F5D96" w:rsidRDefault="00916180" w:rsidP="00916180">
      <w:pPr>
        <w:rPr>
          <w:rFonts w:ascii="Verdana" w:hAnsi="Verdana"/>
          <w:sz w:val="20"/>
          <w:u w:val="single"/>
          <w:lang w:eastAsia="en-GB"/>
        </w:rPr>
      </w:pPr>
      <w:r w:rsidRPr="003F5D96">
        <w:rPr>
          <w:rFonts w:ascii="Verdana" w:hAnsi="Verdana"/>
          <w:sz w:val="20"/>
          <w:u w:val="single"/>
          <w:lang w:eastAsia="en-GB"/>
        </w:rPr>
        <w:t>Remuneration Policy</w:t>
      </w:r>
    </w:p>
    <w:p w14:paraId="6F689164" w14:textId="77777777" w:rsidR="00916180" w:rsidRPr="003F5D96" w:rsidRDefault="00916180" w:rsidP="00916180">
      <w:pPr>
        <w:rPr>
          <w:rFonts w:ascii="Verdana" w:hAnsi="Verdana"/>
          <w:sz w:val="20"/>
          <w:lang w:eastAsia="en-GB"/>
        </w:rPr>
      </w:pPr>
      <w:r w:rsidRPr="003F5D96">
        <w:rPr>
          <w:rFonts w:ascii="Verdana" w:hAnsi="Verdana"/>
          <w:sz w:val="20"/>
          <w:lang w:eastAsia="en-GB"/>
        </w:rPr>
        <w:t xml:space="preserve">The SPH Remuneration Policy has been devised </w:t>
      </w:r>
      <w:proofErr w:type="gramStart"/>
      <w:r w:rsidRPr="003F5D96">
        <w:rPr>
          <w:rFonts w:ascii="Verdana" w:hAnsi="Verdana"/>
          <w:sz w:val="20"/>
          <w:lang w:eastAsia="en-GB"/>
        </w:rPr>
        <w:t>with regard to</w:t>
      </w:r>
      <w:proofErr w:type="gramEnd"/>
      <w:r w:rsidRPr="003F5D96">
        <w:rPr>
          <w:rFonts w:ascii="Verdana" w:hAnsi="Verdana"/>
          <w:sz w:val="20"/>
          <w:lang w:eastAsia="en-GB"/>
        </w:rPr>
        <w:t xml:space="preserve"> the principles of the </w:t>
      </w:r>
      <w:proofErr w:type="spellStart"/>
      <w:r w:rsidRPr="003F5D96">
        <w:rPr>
          <w:rFonts w:ascii="Verdana" w:hAnsi="Verdana"/>
          <w:sz w:val="20"/>
          <w:lang w:eastAsia="en-GB"/>
        </w:rPr>
        <w:t>AoC</w:t>
      </w:r>
      <w:proofErr w:type="spellEnd"/>
      <w:r w:rsidRPr="003F5D96">
        <w:rPr>
          <w:rFonts w:ascii="Verdana" w:hAnsi="Verdana"/>
          <w:sz w:val="20"/>
          <w:lang w:eastAsia="en-GB"/>
        </w:rPr>
        <w:t xml:space="preserve"> Code, so that the College has:</w:t>
      </w:r>
    </w:p>
    <w:p w14:paraId="199EA4F6" w14:textId="77777777" w:rsidR="00916180" w:rsidRPr="003F5D96" w:rsidRDefault="00916180" w:rsidP="00916180">
      <w:pPr>
        <w:rPr>
          <w:rFonts w:ascii="Verdana" w:hAnsi="Verdana"/>
          <w:sz w:val="20"/>
          <w:lang w:eastAsia="en-GB"/>
        </w:rPr>
      </w:pPr>
      <w:r w:rsidRPr="003F5D96">
        <w:rPr>
          <w:rFonts w:ascii="Verdana" w:hAnsi="Verdana"/>
          <w:sz w:val="20"/>
          <w:lang w:eastAsia="en-GB"/>
        </w:rPr>
        <w:t>-</w:t>
      </w:r>
      <w:r w:rsidRPr="003F5D96">
        <w:rPr>
          <w:rFonts w:ascii="Verdana" w:hAnsi="Verdana"/>
          <w:sz w:val="20"/>
          <w:lang w:eastAsia="en-GB"/>
        </w:rPr>
        <w:tab/>
        <w:t xml:space="preserve">a fair and competitive salary offer to attract and retain high performing </w:t>
      </w:r>
      <w:proofErr w:type="gramStart"/>
      <w:r w:rsidRPr="003F5D96">
        <w:rPr>
          <w:rFonts w:ascii="Verdana" w:hAnsi="Verdana"/>
          <w:sz w:val="20"/>
          <w:lang w:eastAsia="en-GB"/>
        </w:rPr>
        <w:t>staff;</w:t>
      </w:r>
      <w:proofErr w:type="gramEnd"/>
      <w:r w:rsidRPr="003F5D96">
        <w:rPr>
          <w:rFonts w:ascii="Verdana" w:hAnsi="Verdana"/>
          <w:sz w:val="20"/>
          <w:lang w:eastAsia="en-GB"/>
        </w:rPr>
        <w:t xml:space="preserve"> </w:t>
      </w:r>
    </w:p>
    <w:p w14:paraId="762B401D" w14:textId="77777777" w:rsidR="00916180" w:rsidRPr="003F5D96" w:rsidRDefault="00916180" w:rsidP="00916180">
      <w:pPr>
        <w:rPr>
          <w:rFonts w:ascii="Verdana" w:hAnsi="Verdana"/>
          <w:sz w:val="20"/>
          <w:lang w:eastAsia="en-GB"/>
        </w:rPr>
      </w:pPr>
      <w:r w:rsidRPr="003F5D96">
        <w:rPr>
          <w:rFonts w:ascii="Verdana" w:hAnsi="Verdana"/>
          <w:sz w:val="20"/>
          <w:lang w:eastAsia="en-GB"/>
        </w:rPr>
        <w:t>-</w:t>
      </w:r>
      <w:r w:rsidRPr="003F5D96">
        <w:rPr>
          <w:rFonts w:ascii="Verdana" w:hAnsi="Verdana"/>
          <w:sz w:val="20"/>
          <w:lang w:eastAsia="en-GB"/>
        </w:rPr>
        <w:tab/>
        <w:t xml:space="preserve">a framework for SPH remuneration that is affordable and </w:t>
      </w:r>
    </w:p>
    <w:p w14:paraId="74479510" w14:textId="77777777" w:rsidR="00916180" w:rsidRDefault="00916180" w:rsidP="00916180">
      <w:pPr>
        <w:rPr>
          <w:rFonts w:ascii="Verdana" w:hAnsi="Verdana"/>
          <w:sz w:val="20"/>
          <w:lang w:eastAsia="en-GB"/>
        </w:rPr>
      </w:pPr>
      <w:r w:rsidRPr="003F5D96">
        <w:rPr>
          <w:rFonts w:ascii="Verdana" w:hAnsi="Verdana"/>
          <w:sz w:val="20"/>
          <w:lang w:eastAsia="en-GB"/>
        </w:rPr>
        <w:t>-</w:t>
      </w:r>
      <w:r w:rsidRPr="003F5D96">
        <w:rPr>
          <w:rFonts w:ascii="Verdana" w:hAnsi="Verdana"/>
          <w:sz w:val="20"/>
          <w:lang w:eastAsia="en-GB"/>
        </w:rPr>
        <w:tab/>
        <w:t>decision-making processes for SPH remuneration that are fair, transparent and accountable.</w:t>
      </w:r>
    </w:p>
    <w:p w14:paraId="792E82D1" w14:textId="77777777" w:rsidR="00916180" w:rsidRDefault="00916180" w:rsidP="00916180">
      <w:pPr>
        <w:rPr>
          <w:rFonts w:ascii="Verdana" w:hAnsi="Verdana"/>
          <w:sz w:val="20"/>
          <w:lang w:eastAsia="en-GB"/>
        </w:rPr>
      </w:pPr>
    </w:p>
    <w:p w14:paraId="085D7D72" w14:textId="77777777" w:rsidR="00916180" w:rsidRPr="003F5D96" w:rsidRDefault="00916180" w:rsidP="00916180">
      <w:pPr>
        <w:rPr>
          <w:rFonts w:ascii="Verdana" w:hAnsi="Verdana"/>
          <w:sz w:val="20"/>
          <w:lang w:eastAsia="en-GB"/>
        </w:rPr>
      </w:pPr>
      <w:r>
        <w:rPr>
          <w:rFonts w:ascii="Verdana" w:hAnsi="Verdana"/>
          <w:sz w:val="20"/>
          <w:lang w:eastAsia="en-GB"/>
        </w:rPr>
        <w:t xml:space="preserve">The Corporation is committed to investing in pension provision for employees and reviewed pension arrangements for staff who were reaching either lifetime or annual contribution limits.  The Corporation recognises that this might have an impact on the recruitment and retention of senior staff across the group.  A non-contractual policy was put in place for a </w:t>
      </w:r>
      <w:proofErr w:type="gramStart"/>
      <w:r>
        <w:rPr>
          <w:rFonts w:ascii="Verdana" w:hAnsi="Verdana"/>
          <w:sz w:val="20"/>
          <w:lang w:eastAsia="en-GB"/>
        </w:rPr>
        <w:t>two year</w:t>
      </w:r>
      <w:proofErr w:type="gramEnd"/>
      <w:r>
        <w:rPr>
          <w:rFonts w:ascii="Verdana" w:hAnsi="Verdana"/>
          <w:sz w:val="20"/>
          <w:lang w:eastAsia="en-GB"/>
        </w:rPr>
        <w:t xml:space="preserve"> period for all eligible staff.  This applies to both Teachers’ Pension Scheme and Local Government Pension Scheme (LPFA) members. </w:t>
      </w:r>
    </w:p>
    <w:p w14:paraId="05A23916" w14:textId="77777777" w:rsidR="00916180" w:rsidRPr="003F5D96" w:rsidRDefault="00916180" w:rsidP="00916180">
      <w:pPr>
        <w:rPr>
          <w:rFonts w:ascii="Verdana" w:hAnsi="Verdana"/>
          <w:sz w:val="20"/>
          <w:lang w:eastAsia="en-GB"/>
        </w:rPr>
      </w:pPr>
    </w:p>
    <w:p w14:paraId="3B74BD16" w14:textId="77777777" w:rsidR="00916180" w:rsidRDefault="00916180" w:rsidP="00916180">
      <w:pPr>
        <w:rPr>
          <w:rFonts w:ascii="Verdana" w:hAnsi="Verdana"/>
          <w:i/>
          <w:sz w:val="20"/>
          <w:lang w:eastAsia="en-GB"/>
        </w:rPr>
      </w:pPr>
      <w:r w:rsidRPr="003F5D96">
        <w:rPr>
          <w:rFonts w:ascii="Verdana" w:hAnsi="Verdana"/>
          <w:i/>
          <w:sz w:val="20"/>
          <w:lang w:eastAsia="en-GB"/>
        </w:rPr>
        <w:t>Choice of comparator college(s)/organisation(s)</w:t>
      </w:r>
    </w:p>
    <w:p w14:paraId="0886C266" w14:textId="77777777" w:rsidR="00916180" w:rsidRPr="003F5D96" w:rsidRDefault="00916180" w:rsidP="00916180">
      <w:pPr>
        <w:rPr>
          <w:rFonts w:ascii="Verdana" w:hAnsi="Verdana"/>
          <w:i/>
          <w:sz w:val="20"/>
          <w:lang w:eastAsia="en-GB"/>
        </w:rPr>
      </w:pPr>
    </w:p>
    <w:p w14:paraId="34DC6885" w14:textId="77777777" w:rsidR="00916180" w:rsidRPr="003F5D96" w:rsidRDefault="00916180" w:rsidP="00916180">
      <w:pPr>
        <w:rPr>
          <w:rFonts w:ascii="Verdana" w:hAnsi="Verdana"/>
          <w:sz w:val="20"/>
          <w:lang w:eastAsia="en-GB"/>
        </w:rPr>
      </w:pPr>
      <w:r>
        <w:rPr>
          <w:rFonts w:ascii="Verdana" w:hAnsi="Verdana"/>
          <w:sz w:val="20"/>
          <w:lang w:eastAsia="en-GB"/>
        </w:rPr>
        <w:t>CEO and Deputy CEO s</w:t>
      </w:r>
      <w:r w:rsidRPr="003F5D96">
        <w:rPr>
          <w:rFonts w:ascii="Verdana" w:hAnsi="Verdana"/>
          <w:sz w:val="20"/>
          <w:lang w:eastAsia="en-GB"/>
        </w:rPr>
        <w:t>alarie</w:t>
      </w:r>
      <w:r>
        <w:rPr>
          <w:rFonts w:ascii="Verdana" w:hAnsi="Verdana"/>
          <w:sz w:val="20"/>
          <w:lang w:eastAsia="en-GB"/>
        </w:rPr>
        <w:t>s</w:t>
      </w:r>
      <w:r w:rsidRPr="003F5D96">
        <w:rPr>
          <w:rFonts w:ascii="Verdana" w:hAnsi="Verdana"/>
          <w:sz w:val="20"/>
          <w:lang w:eastAsia="en-GB"/>
        </w:rPr>
        <w:t xml:space="preserve"> were benchmarked in </w:t>
      </w:r>
      <w:r>
        <w:rPr>
          <w:rFonts w:ascii="Verdana" w:hAnsi="Verdana"/>
          <w:sz w:val="20"/>
          <w:lang w:eastAsia="en-GB"/>
        </w:rPr>
        <w:t xml:space="preserve">2023-24 against the 2023 </w:t>
      </w:r>
      <w:r w:rsidRPr="003F5D96">
        <w:rPr>
          <w:rFonts w:ascii="Verdana" w:hAnsi="Verdana"/>
          <w:sz w:val="20"/>
          <w:lang w:eastAsia="en-GB"/>
        </w:rPr>
        <w:t>Association of College’s Senior Pay Survey. The Committee considered salary data for colleges with a turnover of £65m+ and £100m+ (as the college will be significantly increasing in size post-merger), against the 5 largest colleges excluding NCC and the approximated peer group.</w:t>
      </w:r>
      <w:r>
        <w:rPr>
          <w:rFonts w:ascii="Verdana" w:hAnsi="Verdana"/>
          <w:sz w:val="20"/>
          <w:lang w:eastAsia="en-GB"/>
        </w:rPr>
        <w:t xml:space="preserve"> </w:t>
      </w:r>
    </w:p>
    <w:p w14:paraId="06A28944" w14:textId="77777777" w:rsidR="00916180" w:rsidRPr="003F5D96" w:rsidRDefault="00916180" w:rsidP="00916180">
      <w:pPr>
        <w:rPr>
          <w:rFonts w:ascii="Verdana" w:hAnsi="Verdana"/>
          <w:sz w:val="20"/>
          <w:lang w:eastAsia="en-GB"/>
        </w:rPr>
      </w:pPr>
    </w:p>
    <w:p w14:paraId="2478AC1A" w14:textId="77777777" w:rsidR="00916180" w:rsidRPr="003B115D" w:rsidRDefault="00916180" w:rsidP="00916180">
      <w:pPr>
        <w:rPr>
          <w:rFonts w:ascii="Verdana" w:hAnsi="Verdana"/>
          <w:sz w:val="20"/>
          <w:u w:val="single"/>
          <w:lang w:eastAsia="en-GB"/>
        </w:rPr>
      </w:pPr>
      <w:r w:rsidRPr="003B115D">
        <w:rPr>
          <w:rFonts w:ascii="Verdana" w:hAnsi="Verdana"/>
          <w:sz w:val="20"/>
          <w:u w:val="single"/>
          <w:lang w:eastAsia="en-GB"/>
        </w:rPr>
        <w:t>Policy on income derived from external activities</w:t>
      </w:r>
    </w:p>
    <w:p w14:paraId="446F3657" w14:textId="77777777" w:rsidR="00916180" w:rsidRPr="003F5D96" w:rsidRDefault="00916180" w:rsidP="00916180">
      <w:pPr>
        <w:rPr>
          <w:rFonts w:ascii="Verdana" w:hAnsi="Verdana"/>
          <w:sz w:val="20"/>
          <w:lang w:eastAsia="en-GB"/>
        </w:rPr>
      </w:pPr>
      <w:r w:rsidRPr="003F5D96">
        <w:rPr>
          <w:rFonts w:ascii="Verdana" w:hAnsi="Verdana"/>
          <w:sz w:val="20"/>
          <w:lang w:eastAsia="en-GB"/>
        </w:rPr>
        <w:t>The Code requires colleges to justify any retention of external income by SPH in addition to their remuneration. The College includes an exclusivity of service clause in its SPH employment contract, which requires an SPH to obtain express permission for additional external work (</w:t>
      </w:r>
      <w:proofErr w:type="gramStart"/>
      <w:r w:rsidRPr="003F5D96">
        <w:rPr>
          <w:rFonts w:ascii="Verdana" w:hAnsi="Verdana"/>
          <w:sz w:val="20"/>
          <w:lang w:eastAsia="en-GB"/>
        </w:rPr>
        <w:t>whether or not</w:t>
      </w:r>
      <w:proofErr w:type="gramEnd"/>
      <w:r w:rsidRPr="003F5D96">
        <w:rPr>
          <w:rFonts w:ascii="Verdana" w:hAnsi="Verdana"/>
          <w:sz w:val="20"/>
          <w:lang w:eastAsia="en-GB"/>
        </w:rPr>
        <w:t xml:space="preserve"> it is remunerated), and this is reflected in the SPH Remuneration Policy. There were no instances of remunerated external work taking place during the year.</w:t>
      </w:r>
    </w:p>
    <w:p w14:paraId="798479B9" w14:textId="77777777" w:rsidR="00916180" w:rsidRPr="003F5D96" w:rsidRDefault="00916180" w:rsidP="00916180">
      <w:pPr>
        <w:rPr>
          <w:rFonts w:ascii="Verdana" w:hAnsi="Verdana"/>
          <w:sz w:val="20"/>
          <w:lang w:eastAsia="en-GB"/>
        </w:rPr>
      </w:pPr>
    </w:p>
    <w:p w14:paraId="6A3EB167" w14:textId="77777777" w:rsidR="00916180" w:rsidRPr="003B115D" w:rsidRDefault="00916180" w:rsidP="00916180">
      <w:pPr>
        <w:rPr>
          <w:rFonts w:ascii="Verdana" w:hAnsi="Verdana"/>
          <w:sz w:val="20"/>
          <w:u w:val="single"/>
          <w:lang w:eastAsia="en-GB"/>
        </w:rPr>
      </w:pPr>
      <w:r w:rsidRPr="003B115D">
        <w:rPr>
          <w:rFonts w:ascii="Verdana" w:hAnsi="Verdana"/>
          <w:sz w:val="20"/>
          <w:u w:val="single"/>
          <w:lang w:eastAsia="en-GB"/>
        </w:rPr>
        <w:t>Performance measures &amp; pay considerations</w:t>
      </w:r>
    </w:p>
    <w:p w14:paraId="0228BEB9" w14:textId="77777777" w:rsidR="00916180" w:rsidRDefault="00916180" w:rsidP="00916180">
      <w:pPr>
        <w:rPr>
          <w:rFonts w:ascii="Verdana" w:hAnsi="Verdana"/>
          <w:sz w:val="20"/>
          <w:lang w:eastAsia="en-GB"/>
        </w:rPr>
      </w:pPr>
      <w:r w:rsidRPr="003F5D96">
        <w:rPr>
          <w:rFonts w:ascii="Verdana" w:hAnsi="Verdana"/>
          <w:sz w:val="20"/>
          <w:lang w:eastAsia="en-GB"/>
        </w:rPr>
        <w:t>Each SPH has performance targets set, with the Group Principal &amp; CEO’s targets being in relation to the following objectives:</w:t>
      </w:r>
    </w:p>
    <w:p w14:paraId="70296DCF" w14:textId="77777777" w:rsidR="00916180" w:rsidRPr="00BE6B6B" w:rsidRDefault="00916180" w:rsidP="00916180">
      <w:pPr>
        <w:rPr>
          <w:rFonts w:ascii="Verdana" w:hAnsi="Verdana"/>
          <w:sz w:val="20"/>
          <w:lang w:eastAsia="en-GB"/>
        </w:rPr>
      </w:pPr>
    </w:p>
    <w:p w14:paraId="00669DA9" w14:textId="77777777" w:rsidR="00916180" w:rsidRPr="00BE6B6B" w:rsidRDefault="00916180" w:rsidP="00916180">
      <w:pPr>
        <w:rPr>
          <w:rFonts w:ascii="Verdana" w:hAnsi="Verdana"/>
          <w:sz w:val="20"/>
        </w:rPr>
      </w:pPr>
      <w:r w:rsidRPr="00BE6B6B">
        <w:rPr>
          <w:rFonts w:ascii="Verdana" w:hAnsi="Verdana"/>
          <w:sz w:val="20"/>
        </w:rPr>
        <w:lastRenderedPageBreak/>
        <w:t>1. To achieve the College's corporate goals for 2023/24 as approved by the</w:t>
      </w:r>
      <w:r>
        <w:rPr>
          <w:rFonts w:ascii="Verdana" w:hAnsi="Verdana"/>
          <w:sz w:val="20"/>
        </w:rPr>
        <w:t xml:space="preserve"> </w:t>
      </w:r>
      <w:r w:rsidRPr="00BE6B6B">
        <w:rPr>
          <w:rFonts w:ascii="Verdana" w:hAnsi="Verdana"/>
          <w:sz w:val="20"/>
        </w:rPr>
        <w:t>Corporation.</w:t>
      </w:r>
    </w:p>
    <w:p w14:paraId="7BBAFF62" w14:textId="77777777" w:rsidR="00916180" w:rsidRPr="00BE6B6B" w:rsidRDefault="00916180" w:rsidP="00916180">
      <w:pPr>
        <w:rPr>
          <w:rFonts w:ascii="Verdana" w:hAnsi="Verdana"/>
          <w:sz w:val="20"/>
        </w:rPr>
      </w:pPr>
      <w:r w:rsidRPr="00BE6B6B">
        <w:rPr>
          <w:rFonts w:ascii="Verdana" w:hAnsi="Verdana"/>
          <w:sz w:val="20"/>
        </w:rPr>
        <w:t>2. To develop, in collaboration with Board and wider stakeholders, a new</w:t>
      </w:r>
      <w:r>
        <w:rPr>
          <w:rFonts w:ascii="Verdana" w:hAnsi="Verdana"/>
          <w:sz w:val="20"/>
        </w:rPr>
        <w:t xml:space="preserve"> </w:t>
      </w:r>
      <w:r w:rsidRPr="00BE6B6B">
        <w:rPr>
          <w:rFonts w:ascii="Verdana" w:hAnsi="Verdana"/>
          <w:sz w:val="20"/>
        </w:rPr>
        <w:t>Strategic Intent for 2023/24</w:t>
      </w:r>
    </w:p>
    <w:p w14:paraId="4FE44C23" w14:textId="77777777" w:rsidR="00916180" w:rsidRPr="00BE6B6B" w:rsidRDefault="00916180" w:rsidP="00916180">
      <w:pPr>
        <w:rPr>
          <w:rFonts w:ascii="Verdana" w:hAnsi="Verdana"/>
          <w:sz w:val="20"/>
        </w:rPr>
      </w:pPr>
      <w:r w:rsidRPr="00BE6B6B">
        <w:rPr>
          <w:rFonts w:ascii="Verdana" w:hAnsi="Verdana"/>
          <w:sz w:val="20"/>
        </w:rPr>
        <w:t>3. To complete a merger with Brooke House Sixth Form College, subject to Board</w:t>
      </w:r>
      <w:r>
        <w:rPr>
          <w:rFonts w:ascii="Verdana" w:hAnsi="Verdana"/>
          <w:sz w:val="20"/>
        </w:rPr>
        <w:t xml:space="preserve"> </w:t>
      </w:r>
      <w:r w:rsidRPr="00BE6B6B">
        <w:rPr>
          <w:rFonts w:ascii="Verdana" w:hAnsi="Verdana"/>
          <w:sz w:val="20"/>
        </w:rPr>
        <w:t>approval.</w:t>
      </w:r>
    </w:p>
    <w:p w14:paraId="0449B468" w14:textId="77777777" w:rsidR="00916180" w:rsidRPr="00BE6B6B" w:rsidRDefault="00916180" w:rsidP="00916180">
      <w:pPr>
        <w:rPr>
          <w:rFonts w:ascii="Verdana" w:hAnsi="Verdana"/>
          <w:sz w:val="20"/>
        </w:rPr>
      </w:pPr>
      <w:r w:rsidRPr="00BE6B6B">
        <w:rPr>
          <w:rFonts w:ascii="Verdana" w:hAnsi="Verdana"/>
          <w:sz w:val="20"/>
        </w:rPr>
        <w:t>4. To ensure the further development of a self-improving, reflective and</w:t>
      </w:r>
      <w:r>
        <w:rPr>
          <w:rFonts w:ascii="Verdana" w:hAnsi="Verdana"/>
          <w:sz w:val="20"/>
        </w:rPr>
        <w:t xml:space="preserve"> </w:t>
      </w:r>
      <w:r w:rsidRPr="00BE6B6B">
        <w:rPr>
          <w:rFonts w:ascii="Verdana" w:hAnsi="Verdana"/>
          <w:sz w:val="20"/>
        </w:rPr>
        <w:t>supportive organisational culture that drives consistency and performance</w:t>
      </w:r>
      <w:r>
        <w:rPr>
          <w:rFonts w:ascii="Verdana" w:hAnsi="Verdana"/>
          <w:sz w:val="20"/>
        </w:rPr>
        <w:t xml:space="preserve"> </w:t>
      </w:r>
      <w:r w:rsidRPr="00BE6B6B">
        <w:rPr>
          <w:rFonts w:ascii="Verdana" w:hAnsi="Verdana"/>
          <w:sz w:val="20"/>
        </w:rPr>
        <w:t>with a clear focus on pedagogy.</w:t>
      </w:r>
    </w:p>
    <w:p w14:paraId="1A9ABD85" w14:textId="77777777" w:rsidR="00916180" w:rsidRPr="00BE6B6B" w:rsidRDefault="00916180" w:rsidP="00916180">
      <w:pPr>
        <w:rPr>
          <w:rFonts w:ascii="Verdana" w:hAnsi="Verdana"/>
          <w:sz w:val="20"/>
        </w:rPr>
      </w:pPr>
      <w:r w:rsidRPr="00BE6B6B">
        <w:rPr>
          <w:rFonts w:ascii="Verdana" w:hAnsi="Verdana"/>
          <w:sz w:val="20"/>
        </w:rPr>
        <w:t>5. To ensure that the College Group achieves improved teaching, learning and</w:t>
      </w:r>
      <w:r>
        <w:rPr>
          <w:rFonts w:ascii="Verdana" w:hAnsi="Verdana"/>
          <w:sz w:val="20"/>
        </w:rPr>
        <w:t xml:space="preserve"> </w:t>
      </w:r>
      <w:r w:rsidRPr="00BE6B6B">
        <w:rPr>
          <w:rFonts w:ascii="Verdana" w:hAnsi="Verdana"/>
          <w:sz w:val="20"/>
        </w:rPr>
        <w:t>outcomes consistency with a specific focus on Construction and Engineering</w:t>
      </w:r>
    </w:p>
    <w:p w14:paraId="3D655296" w14:textId="77777777" w:rsidR="00916180" w:rsidRPr="00BE6B6B" w:rsidRDefault="00916180" w:rsidP="00916180">
      <w:pPr>
        <w:rPr>
          <w:rFonts w:ascii="Verdana" w:hAnsi="Verdana"/>
          <w:sz w:val="20"/>
        </w:rPr>
      </w:pPr>
      <w:r w:rsidRPr="00BE6B6B">
        <w:rPr>
          <w:rFonts w:ascii="Verdana" w:hAnsi="Verdana"/>
          <w:sz w:val="20"/>
        </w:rPr>
        <w:t>6. To ensure the College is appropriately structured and resourced to respond to</w:t>
      </w:r>
      <w:r>
        <w:rPr>
          <w:rFonts w:ascii="Verdana" w:hAnsi="Verdana"/>
          <w:sz w:val="20"/>
        </w:rPr>
        <w:t xml:space="preserve"> </w:t>
      </w:r>
      <w:r w:rsidRPr="00BE6B6B">
        <w:rPr>
          <w:rFonts w:ascii="Verdana" w:hAnsi="Verdana"/>
          <w:sz w:val="20"/>
        </w:rPr>
        <w:t>policy change and financial pressures.</w:t>
      </w:r>
    </w:p>
    <w:p w14:paraId="731E11F7" w14:textId="77777777" w:rsidR="00916180" w:rsidRPr="00BE6B6B" w:rsidRDefault="00916180" w:rsidP="00916180">
      <w:pPr>
        <w:rPr>
          <w:rFonts w:ascii="Verdana" w:hAnsi="Verdana"/>
          <w:sz w:val="20"/>
        </w:rPr>
      </w:pPr>
      <w:r w:rsidRPr="00BE6B6B">
        <w:rPr>
          <w:rFonts w:ascii="Verdana" w:hAnsi="Verdana"/>
          <w:sz w:val="20"/>
        </w:rPr>
        <w:t>7. To ensure the College makes significant progress in realigning its curriculum</w:t>
      </w:r>
      <w:r>
        <w:rPr>
          <w:rFonts w:ascii="Verdana" w:hAnsi="Verdana"/>
          <w:sz w:val="20"/>
        </w:rPr>
        <w:t xml:space="preserve"> </w:t>
      </w:r>
      <w:r w:rsidRPr="00BE6B6B">
        <w:rPr>
          <w:rFonts w:ascii="Verdana" w:hAnsi="Verdana"/>
          <w:sz w:val="20"/>
        </w:rPr>
        <w:t>offer, shaping provision that responds to the needs of learners, local</w:t>
      </w:r>
      <w:r>
        <w:rPr>
          <w:rFonts w:ascii="Verdana" w:hAnsi="Verdana"/>
          <w:sz w:val="20"/>
        </w:rPr>
        <w:t xml:space="preserve"> </w:t>
      </w:r>
      <w:r w:rsidRPr="00BE6B6B">
        <w:rPr>
          <w:rFonts w:ascii="Verdana" w:hAnsi="Verdana"/>
          <w:sz w:val="20"/>
        </w:rPr>
        <w:t>employers, future skills demands and government policy, within the context of</w:t>
      </w:r>
      <w:r>
        <w:rPr>
          <w:rFonts w:ascii="Verdana" w:hAnsi="Verdana"/>
          <w:sz w:val="20"/>
        </w:rPr>
        <w:t xml:space="preserve"> </w:t>
      </w:r>
      <w:r w:rsidRPr="00BE6B6B">
        <w:rPr>
          <w:rFonts w:ascii="Verdana" w:hAnsi="Verdana"/>
          <w:sz w:val="20"/>
        </w:rPr>
        <w:t>ensuring a balanced budget.</w:t>
      </w:r>
    </w:p>
    <w:p w14:paraId="63A429E3" w14:textId="77777777" w:rsidR="00916180" w:rsidRDefault="00916180" w:rsidP="00916180">
      <w:pPr>
        <w:rPr>
          <w:rFonts w:ascii="Verdana" w:hAnsi="Verdana"/>
          <w:sz w:val="20"/>
        </w:rPr>
      </w:pPr>
      <w:r w:rsidRPr="00BE6B6B">
        <w:rPr>
          <w:rFonts w:ascii="Verdana" w:hAnsi="Verdana"/>
          <w:sz w:val="20"/>
        </w:rPr>
        <w:t>8. To work with others to build the College's reputation in the areas in which it</w:t>
      </w:r>
      <w:r>
        <w:rPr>
          <w:rFonts w:ascii="Verdana" w:hAnsi="Verdana"/>
          <w:sz w:val="20"/>
        </w:rPr>
        <w:t xml:space="preserve"> </w:t>
      </w:r>
      <w:r w:rsidRPr="00BE6B6B">
        <w:rPr>
          <w:rFonts w:ascii="Verdana" w:hAnsi="Verdana"/>
          <w:sz w:val="20"/>
        </w:rPr>
        <w:t xml:space="preserve">operates and across London, working with the </w:t>
      </w:r>
      <w:proofErr w:type="spellStart"/>
      <w:r w:rsidRPr="00BE6B6B">
        <w:rPr>
          <w:rFonts w:ascii="Verdana" w:hAnsi="Verdana"/>
          <w:sz w:val="20"/>
        </w:rPr>
        <w:t>AoC</w:t>
      </w:r>
      <w:proofErr w:type="spellEnd"/>
      <w:r w:rsidRPr="00BE6B6B">
        <w:rPr>
          <w:rFonts w:ascii="Verdana" w:hAnsi="Verdana"/>
          <w:sz w:val="20"/>
        </w:rPr>
        <w:t>, ETF and other sector</w:t>
      </w:r>
      <w:r>
        <w:rPr>
          <w:rFonts w:ascii="Verdana" w:hAnsi="Verdana"/>
          <w:sz w:val="20"/>
        </w:rPr>
        <w:t xml:space="preserve"> </w:t>
      </w:r>
      <w:r w:rsidRPr="00BE6B6B">
        <w:rPr>
          <w:rFonts w:ascii="Verdana" w:hAnsi="Verdana"/>
          <w:sz w:val="20"/>
        </w:rPr>
        <w:t>bodies.</w:t>
      </w:r>
    </w:p>
    <w:p w14:paraId="2BE7DEBB" w14:textId="77777777" w:rsidR="00916180" w:rsidRPr="00BE6B6B" w:rsidRDefault="00916180" w:rsidP="00916180">
      <w:pPr>
        <w:rPr>
          <w:rFonts w:ascii="Verdana" w:hAnsi="Verdana"/>
          <w:sz w:val="20"/>
        </w:rPr>
      </w:pPr>
    </w:p>
    <w:p w14:paraId="795869AC" w14:textId="77777777" w:rsidR="00916180" w:rsidRPr="003F5D96" w:rsidRDefault="00916180" w:rsidP="00916180">
      <w:pPr>
        <w:rPr>
          <w:rFonts w:ascii="Verdana" w:hAnsi="Verdana"/>
          <w:sz w:val="20"/>
          <w:lang w:eastAsia="en-GB"/>
        </w:rPr>
      </w:pPr>
      <w:r w:rsidRPr="003F5D96">
        <w:rPr>
          <w:rFonts w:ascii="Verdana" w:hAnsi="Verdana"/>
          <w:sz w:val="20"/>
          <w:lang w:eastAsia="en-GB"/>
        </w:rPr>
        <w:t xml:space="preserve">It was agreed that changes to SPH salaries </w:t>
      </w:r>
      <w:r>
        <w:rPr>
          <w:rFonts w:ascii="Verdana" w:hAnsi="Verdana"/>
          <w:sz w:val="20"/>
          <w:lang w:eastAsia="en-GB"/>
        </w:rPr>
        <w:t xml:space="preserve">for 2023-24 </w:t>
      </w:r>
      <w:r w:rsidRPr="003F5D96">
        <w:rPr>
          <w:rFonts w:ascii="Verdana" w:hAnsi="Verdana"/>
          <w:sz w:val="20"/>
          <w:lang w:eastAsia="en-GB"/>
        </w:rPr>
        <w:t xml:space="preserve">would be in line with the </w:t>
      </w:r>
      <w:r>
        <w:rPr>
          <w:rFonts w:ascii="Verdana" w:hAnsi="Verdana"/>
          <w:sz w:val="20"/>
          <w:lang w:eastAsia="en-GB"/>
        </w:rPr>
        <w:t>c</w:t>
      </w:r>
      <w:r w:rsidRPr="003F5D96">
        <w:rPr>
          <w:rFonts w:ascii="Verdana" w:hAnsi="Verdana"/>
          <w:sz w:val="20"/>
          <w:lang w:eastAsia="en-GB"/>
        </w:rPr>
        <w:t>ollege</w:t>
      </w:r>
      <w:r>
        <w:rPr>
          <w:rFonts w:ascii="Verdana" w:hAnsi="Verdana"/>
          <w:sz w:val="20"/>
          <w:lang w:eastAsia="en-GB"/>
        </w:rPr>
        <w:t xml:space="preserve"> r</w:t>
      </w:r>
      <w:r w:rsidRPr="003F5D96">
        <w:rPr>
          <w:rFonts w:ascii="Verdana" w:hAnsi="Verdana"/>
          <w:sz w:val="20"/>
          <w:lang w:eastAsia="en-GB"/>
        </w:rPr>
        <w:t>ecommendations for all staff which were for an</w:t>
      </w:r>
      <w:r w:rsidRPr="003F5D96">
        <w:rPr>
          <w:rStyle w:val="normaltextrun"/>
          <w:rFonts w:ascii="Verdana" w:eastAsiaTheme="majorEastAsia" w:hAnsi="Verdana" w:cs="Arial"/>
          <w:color w:val="000000"/>
          <w:sz w:val="20"/>
          <w:shd w:val="clear" w:color="auto" w:fill="FFFFFF"/>
        </w:rPr>
        <w:t xml:space="preserve"> increase of </w:t>
      </w:r>
      <w:r>
        <w:rPr>
          <w:rStyle w:val="normaltextrun"/>
          <w:rFonts w:ascii="Verdana" w:eastAsiaTheme="majorEastAsia" w:hAnsi="Verdana" w:cs="Arial"/>
          <w:color w:val="000000"/>
          <w:sz w:val="20"/>
          <w:shd w:val="clear" w:color="auto" w:fill="FFFFFF"/>
        </w:rPr>
        <w:t>3</w:t>
      </w:r>
      <w:r w:rsidRPr="003F5D96">
        <w:rPr>
          <w:rStyle w:val="normaltextrun"/>
          <w:rFonts w:ascii="Verdana" w:eastAsiaTheme="majorEastAsia" w:hAnsi="Verdana" w:cs="Arial"/>
          <w:color w:val="000000"/>
          <w:sz w:val="20"/>
          <w:shd w:val="clear" w:color="auto" w:fill="FFFFFF"/>
        </w:rPr>
        <w:t>%</w:t>
      </w:r>
      <w:r>
        <w:rPr>
          <w:rStyle w:val="normaltextrun"/>
          <w:rFonts w:ascii="Verdana" w:eastAsiaTheme="majorEastAsia" w:hAnsi="Verdana" w:cs="Arial"/>
          <w:color w:val="000000"/>
          <w:sz w:val="20"/>
          <w:shd w:val="clear" w:color="auto" w:fill="FFFFFF"/>
        </w:rPr>
        <w:t xml:space="preserve">. </w:t>
      </w:r>
      <w:r w:rsidRPr="003F5D96">
        <w:rPr>
          <w:rFonts w:ascii="Verdana" w:hAnsi="Verdana"/>
          <w:sz w:val="20"/>
          <w:lang w:eastAsia="en-GB"/>
        </w:rPr>
        <w:t>Recommendations were made in the context of the Board’s responsibility for ensuring efficient use of resources.</w:t>
      </w:r>
    </w:p>
    <w:p w14:paraId="4FDADF19" w14:textId="77777777" w:rsidR="00916180" w:rsidRDefault="00916180" w:rsidP="00916180">
      <w:pPr>
        <w:rPr>
          <w:rFonts w:ascii="Verdana" w:hAnsi="Verdana"/>
          <w:sz w:val="20"/>
          <w:lang w:eastAsia="en-GB"/>
        </w:rPr>
      </w:pPr>
    </w:p>
    <w:p w14:paraId="1AADA66A" w14:textId="77777777" w:rsidR="00916180" w:rsidRPr="00BB0C10" w:rsidRDefault="00916180" w:rsidP="00916180">
      <w:pPr>
        <w:rPr>
          <w:rFonts w:ascii="Verdana" w:hAnsi="Verdana"/>
          <w:bCs/>
          <w:iCs/>
          <w:sz w:val="20"/>
          <w:lang w:eastAsia="en-GB"/>
        </w:rPr>
      </w:pPr>
      <w:r w:rsidRPr="00BB0C10">
        <w:rPr>
          <w:rFonts w:ascii="Verdana" w:hAnsi="Verdana"/>
          <w:bCs/>
          <w:iCs/>
          <w:sz w:val="20"/>
          <w:lang w:eastAsia="en-GB"/>
        </w:rPr>
        <w:t>Pay multiple</w:t>
      </w:r>
      <w:r>
        <w:rPr>
          <w:rFonts w:ascii="Verdana" w:hAnsi="Verdana"/>
          <w:bCs/>
          <w:iCs/>
          <w:sz w:val="20"/>
          <w:lang w:eastAsia="en-GB"/>
        </w:rPr>
        <w:t>s</w:t>
      </w:r>
      <w:r w:rsidRPr="00BB0C10">
        <w:rPr>
          <w:rFonts w:ascii="Verdana" w:hAnsi="Verdana"/>
          <w:bCs/>
          <w:iCs/>
          <w:sz w:val="20"/>
          <w:lang w:eastAsia="en-GB"/>
        </w:rPr>
        <w:t xml:space="preserve"> of the Group Principal and CEO and the median earnings of the institution’s whole workforce are as follows: </w:t>
      </w:r>
    </w:p>
    <w:p w14:paraId="12D5EC4E" w14:textId="77777777" w:rsidR="00916180" w:rsidRPr="003B115D" w:rsidRDefault="00916180" w:rsidP="00916180">
      <w:pPr>
        <w:rPr>
          <w:rFonts w:ascii="Verdana" w:hAnsi="Verdana"/>
          <w:b/>
          <w:i/>
          <w:sz w:val="20"/>
          <w:lang w:eastAsia="en-GB"/>
        </w:rPr>
      </w:pPr>
    </w:p>
    <w:p w14:paraId="33D71DDD" w14:textId="77777777" w:rsidR="00916180" w:rsidRDefault="00916180" w:rsidP="00916180">
      <w:pPr>
        <w:rPr>
          <w:rFonts w:ascii="Verdana" w:hAnsi="Verdana"/>
          <w:b/>
          <w:i/>
          <w:sz w:val="20"/>
          <w:lang w:eastAsia="en-GB"/>
        </w:rPr>
      </w:pPr>
      <w:r w:rsidRPr="003B115D">
        <w:rPr>
          <w:rFonts w:ascii="Verdana" w:hAnsi="Verdana"/>
          <w:b/>
          <w:i/>
          <w:sz w:val="20"/>
          <w:lang w:eastAsia="en-GB"/>
        </w:rPr>
        <w:t>Ratios:</w:t>
      </w:r>
    </w:p>
    <w:p w14:paraId="5EA18398" w14:textId="77777777" w:rsidR="00916180" w:rsidRPr="003B115D" w:rsidRDefault="00916180" w:rsidP="00916180">
      <w:pPr>
        <w:rPr>
          <w:rFonts w:ascii="Verdana" w:hAnsi="Verdana"/>
          <w:b/>
          <w:i/>
          <w:sz w:val="20"/>
          <w:lang w:eastAsia="en-GB"/>
        </w:rPr>
      </w:pPr>
    </w:p>
    <w:tbl>
      <w:tblPr>
        <w:tblW w:w="10621" w:type="dxa"/>
        <w:shd w:val="clear" w:color="auto" w:fill="FFFFFF"/>
        <w:tblCellMar>
          <w:left w:w="0" w:type="dxa"/>
          <w:right w:w="0" w:type="dxa"/>
        </w:tblCellMar>
        <w:tblLook w:val="04A0" w:firstRow="1" w:lastRow="0" w:firstColumn="1" w:lastColumn="0" w:noHBand="0" w:noVBand="1"/>
      </w:tblPr>
      <w:tblGrid>
        <w:gridCol w:w="2840"/>
        <w:gridCol w:w="1550"/>
        <w:gridCol w:w="1417"/>
        <w:gridCol w:w="1559"/>
        <w:gridCol w:w="1176"/>
        <w:gridCol w:w="1180"/>
        <w:gridCol w:w="899"/>
      </w:tblGrid>
      <w:tr w:rsidR="00916180" w:rsidRPr="00BB0C10" w14:paraId="2FD14B61" w14:textId="77777777" w:rsidTr="004C1C90">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5425607" w14:textId="77777777" w:rsidR="00916180" w:rsidRPr="00BB0C10" w:rsidRDefault="00916180" w:rsidP="004C1C90">
            <w:pPr>
              <w:rPr>
                <w:rFonts w:ascii="Calibri" w:hAnsi="Calibri" w:cs="Calibri"/>
                <w:color w:val="000000"/>
                <w:szCs w:val="22"/>
                <w:bdr w:val="none" w:sz="0" w:space="0" w:color="auto" w:frame="1"/>
                <w:lang w:eastAsia="en-GB"/>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0CEB3565"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2023-24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6C1811"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2023-24</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6BE41CBD" w14:textId="77777777" w:rsidR="00916180" w:rsidRPr="00ED344F" w:rsidRDefault="00916180" w:rsidP="004C1C90">
            <w:pPr>
              <w:jc w:val="right"/>
              <w:rPr>
                <w:rFonts w:ascii="Calibri" w:hAnsi="Calibri" w:cs="Calibri"/>
                <w:bCs/>
                <w:iCs/>
                <w:szCs w:val="22"/>
                <w:lang w:eastAsia="en-GB"/>
              </w:rPr>
            </w:pPr>
            <w:r w:rsidRPr="00ED344F">
              <w:rPr>
                <w:rFonts w:ascii="Calibri" w:hAnsi="Calibri" w:cs="Calibri"/>
                <w:bCs/>
                <w:iCs/>
                <w:szCs w:val="22"/>
                <w:lang w:eastAsia="en-GB"/>
              </w:rPr>
              <w:t>2022-23</w:t>
            </w:r>
          </w:p>
          <w:p w14:paraId="292F7353" w14:textId="77777777" w:rsidR="00916180" w:rsidRPr="00ED344F" w:rsidRDefault="00916180" w:rsidP="004C1C90">
            <w:pPr>
              <w:jc w:val="right"/>
              <w:rPr>
                <w:rFonts w:ascii="Calibri" w:hAnsi="Calibri" w:cs="Calibri"/>
                <w:bCs/>
                <w:iCs/>
                <w:color w:val="000000"/>
                <w:szCs w:val="22"/>
                <w:bdr w:val="none" w:sz="0" w:space="0" w:color="auto" w:frame="1"/>
                <w:lang w:eastAsia="en-GB"/>
              </w:rPr>
            </w:pPr>
          </w:p>
        </w:tc>
        <w:tc>
          <w:tcPr>
            <w:tcW w:w="11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1C6809F3" w14:textId="77777777" w:rsidR="00916180" w:rsidRPr="00ED344F" w:rsidRDefault="00916180" w:rsidP="004C1C90">
            <w:pPr>
              <w:rPr>
                <w:rFonts w:ascii="Calibri" w:hAnsi="Calibri" w:cs="Calibri"/>
                <w:bCs/>
                <w:iCs/>
                <w:szCs w:val="22"/>
                <w:lang w:eastAsia="en-GB"/>
              </w:rPr>
            </w:pPr>
            <w:r w:rsidRPr="00ED344F">
              <w:rPr>
                <w:rFonts w:ascii="Calibri" w:hAnsi="Calibri" w:cs="Calibri"/>
                <w:bCs/>
                <w:iCs/>
                <w:szCs w:val="22"/>
                <w:lang w:eastAsia="en-GB"/>
              </w:rPr>
              <w:t>2022-23</w:t>
            </w:r>
          </w:p>
          <w:p w14:paraId="5E527E1A" w14:textId="77777777" w:rsidR="00916180" w:rsidRPr="00ED344F" w:rsidRDefault="00916180" w:rsidP="004C1C90">
            <w:pPr>
              <w:rPr>
                <w:rFonts w:ascii="Calibri" w:hAnsi="Calibri" w:cs="Calibri"/>
                <w:bCs/>
                <w:iCs/>
                <w:color w:val="000000"/>
                <w:szCs w:val="22"/>
                <w:bdr w:val="none" w:sz="0" w:space="0" w:color="auto" w:frame="1"/>
                <w:lang w:eastAsia="en-GB"/>
              </w:rPr>
            </w:pP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1DBC8895"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2021-22</w:t>
            </w: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64D08D80"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2021-22</w:t>
            </w:r>
          </w:p>
        </w:tc>
      </w:tr>
      <w:tr w:rsidR="00916180" w:rsidRPr="00BB0C10" w14:paraId="10A58D0D" w14:textId="77777777" w:rsidTr="004C1C90">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0B45A6F4" w14:textId="77777777" w:rsidR="00916180" w:rsidRPr="00BB0C10" w:rsidRDefault="00916180" w:rsidP="004C1C90">
            <w:pPr>
              <w:rPr>
                <w:rFonts w:ascii="Calibri" w:hAnsi="Calibri" w:cs="Calibri"/>
                <w:color w:val="201F1E"/>
                <w:szCs w:val="22"/>
                <w:lang w:eastAsia="en-GB"/>
              </w:rPr>
            </w:pPr>
            <w:r w:rsidRPr="00BB0C10">
              <w:rPr>
                <w:rFonts w:ascii="Calibri" w:hAnsi="Calibri" w:cs="Calibri"/>
                <w:color w:val="000000"/>
                <w:szCs w:val="22"/>
                <w:bdr w:val="none" w:sz="0" w:space="0" w:color="auto" w:frame="1"/>
                <w:lang w:eastAsia="en-GB"/>
              </w:rPr>
              <w:t>Upper 75%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0A228289"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£47,898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F67578"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6.66:1</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5205632B" w14:textId="77777777" w:rsidR="00916180" w:rsidRPr="00ED344F" w:rsidRDefault="00916180" w:rsidP="004C1C90">
            <w:pPr>
              <w:jc w:val="right"/>
              <w:rPr>
                <w:rFonts w:ascii="Calibri" w:hAnsi="Calibri" w:cs="Calibri"/>
                <w:bCs/>
                <w:iCs/>
                <w:color w:val="201F1E"/>
                <w:szCs w:val="22"/>
                <w:lang w:eastAsia="en-GB"/>
              </w:rPr>
            </w:pPr>
            <w:r w:rsidRPr="00ED344F">
              <w:rPr>
                <w:rFonts w:ascii="Calibri" w:hAnsi="Calibri" w:cs="Calibri"/>
                <w:bCs/>
                <w:iCs/>
                <w:szCs w:val="22"/>
                <w:lang w:eastAsia="en-GB"/>
              </w:rPr>
              <w:t>£44,975</w:t>
            </w:r>
          </w:p>
        </w:tc>
        <w:tc>
          <w:tcPr>
            <w:tcW w:w="11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33BA5C03" w14:textId="77777777" w:rsidR="00916180" w:rsidRPr="00ED344F" w:rsidRDefault="00916180" w:rsidP="004C1C90">
            <w:pPr>
              <w:rPr>
                <w:rFonts w:ascii="Calibri" w:hAnsi="Calibri" w:cs="Calibri"/>
                <w:bCs/>
                <w:iCs/>
                <w:color w:val="201F1E"/>
                <w:szCs w:val="22"/>
                <w:lang w:eastAsia="en-GB"/>
              </w:rPr>
            </w:pPr>
            <w:r w:rsidRPr="00ED344F">
              <w:rPr>
                <w:rFonts w:ascii="Calibri" w:hAnsi="Calibri" w:cs="Calibri"/>
                <w:bCs/>
                <w:iCs/>
                <w:szCs w:val="22"/>
                <w:lang w:eastAsia="en-GB"/>
              </w:rPr>
              <w:t>6.69:1</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0F68AE71" w14:textId="77777777" w:rsidR="00916180" w:rsidRPr="00ED344F" w:rsidRDefault="00916180" w:rsidP="004C1C90">
            <w:pPr>
              <w:jc w:val="right"/>
              <w:rPr>
                <w:rFonts w:ascii="Calibri" w:hAnsi="Calibri" w:cs="Calibri"/>
                <w:color w:val="201F1E"/>
                <w:szCs w:val="22"/>
                <w:lang w:eastAsia="en-GB"/>
              </w:rPr>
            </w:pPr>
            <w:r w:rsidRPr="00ED344F">
              <w:rPr>
                <w:rFonts w:ascii="Calibri" w:hAnsi="Calibri" w:cs="Calibri"/>
                <w:color w:val="000000"/>
                <w:szCs w:val="22"/>
                <w:bdr w:val="none" w:sz="0" w:space="0" w:color="auto" w:frame="1"/>
                <w:lang w:eastAsia="en-GB"/>
              </w:rPr>
              <w:t>£43,179.00</w:t>
            </w: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3DF8E63D" w14:textId="77777777" w:rsidR="00916180" w:rsidRPr="00ED344F" w:rsidRDefault="00916180" w:rsidP="004C1C90">
            <w:pPr>
              <w:jc w:val="center"/>
              <w:rPr>
                <w:rFonts w:ascii="Calibri" w:hAnsi="Calibri" w:cs="Calibri"/>
                <w:color w:val="201F1E"/>
                <w:szCs w:val="22"/>
                <w:lang w:eastAsia="en-GB"/>
              </w:rPr>
            </w:pPr>
            <w:r w:rsidRPr="00ED344F">
              <w:rPr>
                <w:rFonts w:ascii="Calibri" w:hAnsi="Calibri" w:cs="Calibri"/>
                <w:color w:val="000000"/>
                <w:szCs w:val="22"/>
                <w:bdr w:val="none" w:sz="0" w:space="0" w:color="auto" w:frame="1"/>
                <w:lang w:eastAsia="en-GB"/>
              </w:rPr>
              <w:t>6.80:1</w:t>
            </w:r>
          </w:p>
        </w:tc>
      </w:tr>
      <w:tr w:rsidR="00916180" w:rsidRPr="00BB0C10" w14:paraId="155F4178" w14:textId="77777777" w:rsidTr="004C1C90">
        <w:trPr>
          <w:trHeight w:val="300"/>
        </w:trPr>
        <w:tc>
          <w:tcPr>
            <w:tcW w:w="2840" w:type="dxa"/>
            <w:tcBorders>
              <w:top w:val="single" w:sz="4" w:space="0" w:color="auto"/>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A20EBDD" w14:textId="77777777" w:rsidR="00916180" w:rsidRPr="00BB0C10" w:rsidRDefault="00916180" w:rsidP="004C1C90">
            <w:pPr>
              <w:rPr>
                <w:rFonts w:ascii="Calibri" w:hAnsi="Calibri" w:cs="Calibri"/>
                <w:color w:val="201F1E"/>
                <w:szCs w:val="22"/>
                <w:lang w:eastAsia="en-GB"/>
              </w:rPr>
            </w:pPr>
            <w:r w:rsidRPr="00BB0C10">
              <w:rPr>
                <w:rFonts w:ascii="Calibri" w:hAnsi="Calibri" w:cs="Calibri"/>
                <w:color w:val="000000"/>
                <w:szCs w:val="22"/>
                <w:bdr w:val="none" w:sz="0" w:space="0" w:color="auto" w:frame="1"/>
                <w:lang w:eastAsia="en-GB"/>
              </w:rPr>
              <w:t>Middle 50%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1C054358"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£37,850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F55A71"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8.44:1</w:t>
            </w:r>
          </w:p>
        </w:tc>
        <w:tc>
          <w:tcPr>
            <w:tcW w:w="1559" w:type="dxa"/>
            <w:tcBorders>
              <w:top w:val="single" w:sz="4" w:space="0" w:color="auto"/>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2F9B61DD" w14:textId="77777777" w:rsidR="00916180" w:rsidRPr="00ED344F" w:rsidRDefault="00916180" w:rsidP="004C1C90">
            <w:pPr>
              <w:jc w:val="right"/>
              <w:rPr>
                <w:rFonts w:ascii="Calibri" w:hAnsi="Calibri" w:cs="Calibri"/>
                <w:bCs/>
                <w:iCs/>
                <w:color w:val="201F1E"/>
                <w:szCs w:val="22"/>
                <w:lang w:eastAsia="en-GB"/>
              </w:rPr>
            </w:pPr>
            <w:r w:rsidRPr="00ED344F">
              <w:rPr>
                <w:rFonts w:ascii="Calibri" w:hAnsi="Calibri" w:cs="Calibri"/>
                <w:bCs/>
                <w:iCs/>
                <w:szCs w:val="22"/>
                <w:lang w:eastAsia="en-GB"/>
              </w:rPr>
              <w:t>£35,540</w:t>
            </w:r>
          </w:p>
        </w:tc>
        <w:tc>
          <w:tcPr>
            <w:tcW w:w="1176"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tcPr>
          <w:p w14:paraId="770639B1" w14:textId="77777777" w:rsidR="00916180" w:rsidRPr="00ED344F" w:rsidRDefault="00916180" w:rsidP="004C1C90">
            <w:pPr>
              <w:rPr>
                <w:rFonts w:ascii="Calibri" w:hAnsi="Calibri" w:cs="Calibri"/>
                <w:bCs/>
                <w:iCs/>
                <w:color w:val="201F1E"/>
                <w:szCs w:val="22"/>
                <w:lang w:eastAsia="en-GB"/>
              </w:rPr>
            </w:pPr>
            <w:r w:rsidRPr="00ED344F">
              <w:rPr>
                <w:rFonts w:ascii="Calibri" w:hAnsi="Calibri" w:cs="Calibri"/>
                <w:bCs/>
                <w:iCs/>
                <w:szCs w:val="22"/>
                <w:lang w:eastAsia="en-GB"/>
              </w:rPr>
              <w:t>8.47:1</w:t>
            </w:r>
          </w:p>
        </w:tc>
        <w:tc>
          <w:tcPr>
            <w:tcW w:w="1180" w:type="dxa"/>
            <w:tcBorders>
              <w:top w:val="single" w:sz="4" w:space="0" w:color="auto"/>
              <w:left w:val="nil"/>
              <w:bottom w:val="single" w:sz="8" w:space="0" w:color="auto"/>
              <w:right w:val="single" w:sz="8" w:space="0" w:color="auto"/>
            </w:tcBorders>
            <w:shd w:val="clear" w:color="auto" w:fill="FFFFFF"/>
          </w:tcPr>
          <w:p w14:paraId="44E03668" w14:textId="77777777" w:rsidR="00916180" w:rsidRPr="00ED344F" w:rsidRDefault="00916180" w:rsidP="004C1C90">
            <w:pPr>
              <w:jc w:val="right"/>
              <w:rPr>
                <w:rFonts w:ascii="Calibri" w:hAnsi="Calibri" w:cs="Calibri"/>
                <w:color w:val="201F1E"/>
                <w:szCs w:val="22"/>
                <w:lang w:eastAsia="en-GB"/>
              </w:rPr>
            </w:pPr>
            <w:r w:rsidRPr="00ED344F">
              <w:rPr>
                <w:rFonts w:ascii="Calibri" w:hAnsi="Calibri" w:cs="Calibri"/>
                <w:color w:val="000000"/>
                <w:szCs w:val="22"/>
                <w:bdr w:val="none" w:sz="0" w:space="0" w:color="auto" w:frame="1"/>
                <w:lang w:eastAsia="en-GB"/>
              </w:rPr>
              <w:t>£33,699.00</w:t>
            </w:r>
          </w:p>
        </w:tc>
        <w:tc>
          <w:tcPr>
            <w:tcW w:w="899" w:type="dxa"/>
            <w:tcBorders>
              <w:top w:val="single" w:sz="4" w:space="0" w:color="auto"/>
              <w:left w:val="nil"/>
              <w:bottom w:val="single" w:sz="8" w:space="0" w:color="auto"/>
              <w:right w:val="single" w:sz="8" w:space="0" w:color="auto"/>
            </w:tcBorders>
            <w:shd w:val="clear" w:color="auto" w:fill="FFFFFF"/>
          </w:tcPr>
          <w:p w14:paraId="68941E67" w14:textId="77777777" w:rsidR="00916180" w:rsidRPr="00ED344F" w:rsidRDefault="00916180" w:rsidP="004C1C90">
            <w:pPr>
              <w:jc w:val="center"/>
              <w:rPr>
                <w:rFonts w:ascii="Calibri" w:hAnsi="Calibri" w:cs="Calibri"/>
                <w:color w:val="201F1E"/>
                <w:szCs w:val="22"/>
                <w:lang w:eastAsia="en-GB"/>
              </w:rPr>
            </w:pPr>
            <w:r w:rsidRPr="00ED344F">
              <w:rPr>
                <w:rFonts w:ascii="Calibri" w:hAnsi="Calibri" w:cs="Calibri"/>
                <w:color w:val="000000"/>
                <w:szCs w:val="22"/>
                <w:bdr w:val="none" w:sz="0" w:space="0" w:color="auto" w:frame="1"/>
                <w:lang w:eastAsia="en-GB"/>
              </w:rPr>
              <w:t>8.72:1</w:t>
            </w:r>
          </w:p>
        </w:tc>
      </w:tr>
      <w:tr w:rsidR="00916180" w:rsidRPr="00BB0C10" w14:paraId="2DC99416" w14:textId="77777777" w:rsidTr="004C1C90">
        <w:trPr>
          <w:trHeight w:val="300"/>
        </w:trPr>
        <w:tc>
          <w:tcPr>
            <w:tcW w:w="2840" w:type="dxa"/>
            <w:tcBorders>
              <w:top w:val="single" w:sz="4" w:space="0" w:color="auto"/>
              <w:left w:val="single" w:sz="8" w:space="0" w:color="auto"/>
              <w:bottom w:val="single" w:sz="8" w:space="0" w:color="auto"/>
              <w:right w:val="single" w:sz="4" w:space="0" w:color="auto"/>
            </w:tcBorders>
            <w:shd w:val="clear" w:color="auto" w:fill="FFFFFF"/>
            <w:noWrap/>
            <w:tcMar>
              <w:top w:w="0" w:type="dxa"/>
              <w:left w:w="108" w:type="dxa"/>
              <w:bottom w:w="0" w:type="dxa"/>
              <w:right w:w="108" w:type="dxa"/>
            </w:tcMar>
            <w:vAlign w:val="bottom"/>
          </w:tcPr>
          <w:p w14:paraId="025F493A" w14:textId="77777777" w:rsidR="00916180" w:rsidRPr="00BB0C10" w:rsidRDefault="00916180" w:rsidP="004C1C90">
            <w:pPr>
              <w:rPr>
                <w:rFonts w:ascii="Calibri" w:hAnsi="Calibri" w:cs="Calibri"/>
                <w:color w:val="000000"/>
                <w:szCs w:val="22"/>
                <w:bdr w:val="none" w:sz="0" w:space="0" w:color="auto" w:frame="1"/>
                <w:lang w:eastAsia="en-GB"/>
              </w:rPr>
            </w:pPr>
            <w:r>
              <w:rPr>
                <w:rFonts w:ascii="Calibri" w:hAnsi="Calibri" w:cs="Calibri"/>
                <w:color w:val="000000"/>
                <w:szCs w:val="22"/>
                <w:bdr w:val="none" w:sz="0" w:space="0" w:color="auto" w:frame="1"/>
                <w:lang w:eastAsia="en-GB"/>
              </w:rPr>
              <w:t>Lower 25%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1C88E521"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£30,254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CAD92A"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10.55:1</w:t>
            </w:r>
          </w:p>
        </w:tc>
        <w:tc>
          <w:tcPr>
            <w:tcW w:w="1559" w:type="dxa"/>
            <w:tcBorders>
              <w:top w:val="single" w:sz="4" w:space="0" w:color="auto"/>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62F9F73F" w14:textId="77777777" w:rsidR="00916180" w:rsidRPr="00ED344F" w:rsidRDefault="00916180" w:rsidP="004C1C90">
            <w:pPr>
              <w:jc w:val="right"/>
              <w:rPr>
                <w:rFonts w:ascii="Calibri" w:hAnsi="Calibri" w:cs="Calibri"/>
                <w:bCs/>
                <w:iCs/>
                <w:color w:val="000000"/>
                <w:szCs w:val="22"/>
                <w:bdr w:val="none" w:sz="0" w:space="0" w:color="auto" w:frame="1"/>
                <w:lang w:eastAsia="en-GB"/>
              </w:rPr>
            </w:pPr>
            <w:r w:rsidRPr="00ED344F">
              <w:rPr>
                <w:rFonts w:ascii="Calibri" w:hAnsi="Calibri" w:cs="Calibri"/>
                <w:bCs/>
                <w:iCs/>
                <w:szCs w:val="22"/>
                <w:lang w:eastAsia="en-GB"/>
              </w:rPr>
              <w:t>£28,407</w:t>
            </w:r>
          </w:p>
        </w:tc>
        <w:tc>
          <w:tcPr>
            <w:tcW w:w="1176"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tcPr>
          <w:p w14:paraId="2A8F27AB" w14:textId="77777777" w:rsidR="00916180" w:rsidRPr="00ED344F" w:rsidRDefault="00916180" w:rsidP="004C1C90">
            <w:pPr>
              <w:rPr>
                <w:rFonts w:ascii="Calibri" w:hAnsi="Calibri" w:cs="Calibri"/>
                <w:bCs/>
                <w:iCs/>
                <w:color w:val="000000"/>
                <w:szCs w:val="22"/>
                <w:bdr w:val="none" w:sz="0" w:space="0" w:color="auto" w:frame="1"/>
                <w:lang w:eastAsia="en-GB"/>
              </w:rPr>
            </w:pPr>
            <w:r w:rsidRPr="00ED344F">
              <w:rPr>
                <w:rFonts w:ascii="Calibri" w:hAnsi="Calibri" w:cs="Calibri"/>
                <w:bCs/>
                <w:iCs/>
                <w:szCs w:val="22"/>
                <w:lang w:eastAsia="en-GB"/>
              </w:rPr>
              <w:t>10.6.1</w:t>
            </w:r>
          </w:p>
        </w:tc>
        <w:tc>
          <w:tcPr>
            <w:tcW w:w="1180" w:type="dxa"/>
            <w:tcBorders>
              <w:top w:val="single" w:sz="4" w:space="0" w:color="auto"/>
              <w:left w:val="nil"/>
              <w:bottom w:val="single" w:sz="8" w:space="0" w:color="auto"/>
              <w:right w:val="single" w:sz="8" w:space="0" w:color="auto"/>
            </w:tcBorders>
            <w:shd w:val="clear" w:color="auto" w:fill="FFFFFF"/>
          </w:tcPr>
          <w:p w14:paraId="50F1A7A8" w14:textId="77777777" w:rsidR="00916180" w:rsidRPr="00ED344F" w:rsidRDefault="00916180" w:rsidP="004C1C90">
            <w:pPr>
              <w:jc w:val="right"/>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£25,693.00</w:t>
            </w:r>
          </w:p>
        </w:tc>
        <w:tc>
          <w:tcPr>
            <w:tcW w:w="899" w:type="dxa"/>
            <w:tcBorders>
              <w:top w:val="single" w:sz="4" w:space="0" w:color="auto"/>
              <w:left w:val="nil"/>
              <w:bottom w:val="single" w:sz="8" w:space="0" w:color="auto"/>
              <w:right w:val="single" w:sz="8" w:space="0" w:color="auto"/>
            </w:tcBorders>
            <w:shd w:val="clear" w:color="auto" w:fill="FFFFFF"/>
          </w:tcPr>
          <w:p w14:paraId="61B9BE62" w14:textId="77777777" w:rsidR="00916180" w:rsidRPr="00ED344F" w:rsidRDefault="00916180" w:rsidP="004C1C90">
            <w:pPr>
              <w:jc w:val="center"/>
              <w:rPr>
                <w:rFonts w:ascii="Calibri" w:hAnsi="Calibri" w:cs="Calibri"/>
                <w:color w:val="000000"/>
                <w:szCs w:val="22"/>
                <w:bdr w:val="none" w:sz="0" w:space="0" w:color="auto" w:frame="1"/>
                <w:lang w:eastAsia="en-GB"/>
              </w:rPr>
            </w:pPr>
            <w:r w:rsidRPr="00ED344F">
              <w:rPr>
                <w:rFonts w:ascii="Calibri" w:hAnsi="Calibri" w:cs="Calibri"/>
                <w:color w:val="000000"/>
                <w:szCs w:val="22"/>
                <w:bdr w:val="none" w:sz="0" w:space="0" w:color="auto" w:frame="1"/>
                <w:lang w:eastAsia="en-GB"/>
              </w:rPr>
              <w:t>11.43:1</w:t>
            </w:r>
          </w:p>
        </w:tc>
      </w:tr>
    </w:tbl>
    <w:p w14:paraId="2942EBB5" w14:textId="77777777" w:rsidR="00916180" w:rsidRPr="003B115D" w:rsidRDefault="00916180" w:rsidP="00916180">
      <w:pPr>
        <w:rPr>
          <w:rFonts w:ascii="Verdana" w:hAnsi="Verdana"/>
          <w:b/>
          <w:i/>
          <w:color w:val="00B050"/>
          <w:sz w:val="20"/>
          <w:lang w:eastAsia="en-GB"/>
        </w:rPr>
      </w:pPr>
      <w:r w:rsidRPr="003B115D">
        <w:rPr>
          <w:rFonts w:ascii="Verdana" w:hAnsi="Verdana"/>
          <w:b/>
          <w:i/>
          <w:sz w:val="20"/>
          <w:lang w:eastAsia="en-GB"/>
        </w:rPr>
        <w:t> </w:t>
      </w:r>
    </w:p>
    <w:p w14:paraId="07593ED2" w14:textId="77777777" w:rsidR="00916180" w:rsidRPr="00BB0C10" w:rsidRDefault="00916180" w:rsidP="00916180">
      <w:pPr>
        <w:rPr>
          <w:rFonts w:ascii="Verdana" w:hAnsi="Verdana"/>
          <w:bCs/>
          <w:iCs/>
          <w:sz w:val="20"/>
          <w:u w:val="single"/>
          <w:lang w:eastAsia="en-GB"/>
        </w:rPr>
      </w:pPr>
      <w:r w:rsidRPr="00BB0C10">
        <w:rPr>
          <w:rFonts w:ascii="Verdana" w:hAnsi="Verdana"/>
          <w:bCs/>
          <w:iCs/>
          <w:sz w:val="20"/>
          <w:u w:val="single"/>
          <w:lang w:eastAsia="en-GB"/>
        </w:rPr>
        <w:t>Expenses</w:t>
      </w:r>
    </w:p>
    <w:p w14:paraId="05CBBD62" w14:textId="77777777" w:rsidR="00916180" w:rsidRPr="00BB0C10" w:rsidRDefault="00916180" w:rsidP="00916180">
      <w:pPr>
        <w:rPr>
          <w:rFonts w:ascii="Verdana" w:hAnsi="Verdana"/>
          <w:bCs/>
          <w:iCs/>
          <w:sz w:val="20"/>
          <w:lang w:eastAsia="en-GB"/>
        </w:rPr>
      </w:pPr>
      <w:r w:rsidRPr="00BB0C10">
        <w:rPr>
          <w:rFonts w:ascii="Verdana" w:hAnsi="Verdana"/>
          <w:bCs/>
          <w:iCs/>
          <w:sz w:val="20"/>
          <w:lang w:eastAsia="en-GB"/>
        </w:rPr>
        <w:t xml:space="preserve">Minimal expenses are paid to the CEO, the sum paid totalled </w:t>
      </w:r>
      <w:r>
        <w:rPr>
          <w:rFonts w:ascii="Verdana" w:hAnsi="Verdana"/>
          <w:bCs/>
          <w:iCs/>
          <w:sz w:val="20"/>
          <w:lang w:eastAsia="en-GB"/>
        </w:rPr>
        <w:t xml:space="preserve">£256.10 </w:t>
      </w:r>
      <w:r w:rsidRPr="00BB0C10">
        <w:rPr>
          <w:rFonts w:ascii="Verdana" w:hAnsi="Verdana"/>
          <w:bCs/>
          <w:iCs/>
          <w:sz w:val="20"/>
          <w:lang w:eastAsia="en-GB"/>
        </w:rPr>
        <w:t>for travel</w:t>
      </w:r>
      <w:r>
        <w:rPr>
          <w:rFonts w:ascii="Verdana" w:hAnsi="Verdana"/>
          <w:bCs/>
          <w:iCs/>
          <w:sz w:val="20"/>
          <w:lang w:eastAsia="en-GB"/>
        </w:rPr>
        <w:t xml:space="preserve"> and £282.29 for </w:t>
      </w:r>
      <w:r w:rsidRPr="00BB0C10">
        <w:rPr>
          <w:rFonts w:ascii="Verdana" w:hAnsi="Verdana"/>
          <w:bCs/>
          <w:iCs/>
          <w:sz w:val="20"/>
          <w:lang w:eastAsia="en-GB"/>
        </w:rPr>
        <w:t>hospitality costs</w:t>
      </w:r>
      <w:r>
        <w:rPr>
          <w:rFonts w:ascii="Verdana" w:hAnsi="Verdana"/>
          <w:bCs/>
          <w:iCs/>
          <w:sz w:val="20"/>
          <w:lang w:eastAsia="en-GB"/>
        </w:rPr>
        <w:t xml:space="preserve"> (merger). </w:t>
      </w:r>
    </w:p>
    <w:p w14:paraId="742D09D4" w14:textId="77777777" w:rsidR="00916180" w:rsidRPr="003F5D96" w:rsidRDefault="00916180" w:rsidP="00916180">
      <w:pPr>
        <w:rPr>
          <w:rFonts w:ascii="Verdana" w:hAnsi="Verdana"/>
          <w:sz w:val="20"/>
          <w:lang w:eastAsia="en-GB"/>
        </w:rPr>
      </w:pPr>
    </w:p>
    <w:p w14:paraId="7EDEF0D0" w14:textId="77777777" w:rsidR="00916180" w:rsidRPr="00BB0C10" w:rsidRDefault="00916180" w:rsidP="00916180">
      <w:pPr>
        <w:rPr>
          <w:rFonts w:ascii="Verdana" w:hAnsi="Verdana"/>
          <w:sz w:val="20"/>
          <w:u w:val="single"/>
          <w:lang w:eastAsia="en-GB"/>
        </w:rPr>
      </w:pPr>
      <w:r w:rsidRPr="00BB0C10">
        <w:rPr>
          <w:rFonts w:ascii="Verdana" w:hAnsi="Verdana"/>
          <w:sz w:val="20"/>
          <w:u w:val="single"/>
          <w:lang w:eastAsia="en-GB"/>
        </w:rPr>
        <w:t xml:space="preserve">Significant changes for </w:t>
      </w:r>
      <w:r>
        <w:rPr>
          <w:rFonts w:ascii="Verdana" w:hAnsi="Verdana"/>
          <w:sz w:val="20"/>
          <w:u w:val="single"/>
          <w:lang w:eastAsia="en-GB"/>
        </w:rPr>
        <w:t>2023-24</w:t>
      </w:r>
    </w:p>
    <w:p w14:paraId="49C963DB" w14:textId="77777777" w:rsidR="00916180" w:rsidRPr="003F5D96" w:rsidRDefault="00916180" w:rsidP="00916180">
      <w:pPr>
        <w:rPr>
          <w:rFonts w:ascii="Verdana" w:hAnsi="Verdana"/>
          <w:sz w:val="20"/>
          <w:lang w:eastAsia="en-GB"/>
        </w:rPr>
      </w:pPr>
      <w:r w:rsidRPr="003F5D96">
        <w:rPr>
          <w:rFonts w:ascii="Verdana" w:hAnsi="Verdana"/>
          <w:sz w:val="20"/>
          <w:lang w:eastAsia="en-GB"/>
        </w:rPr>
        <w:t>The</w:t>
      </w:r>
      <w:r>
        <w:rPr>
          <w:rFonts w:ascii="Verdana" w:hAnsi="Verdana"/>
          <w:sz w:val="20"/>
          <w:lang w:eastAsia="en-GB"/>
        </w:rPr>
        <w:t xml:space="preserve"> Deputy CEO left in May 2024 and the Board are involved in the recruitment of a new SPH.</w:t>
      </w:r>
    </w:p>
    <w:p w14:paraId="4E08B1FB" w14:textId="77777777" w:rsidR="00916180" w:rsidRPr="003F5D96" w:rsidRDefault="00916180" w:rsidP="00916180">
      <w:pPr>
        <w:rPr>
          <w:rFonts w:ascii="Verdana" w:hAnsi="Verdana"/>
          <w:sz w:val="20"/>
          <w:lang w:eastAsia="en-GB"/>
        </w:rPr>
      </w:pPr>
    </w:p>
    <w:p w14:paraId="3EA0D9D4" w14:textId="77777777" w:rsidR="00916180" w:rsidRPr="003F5D96" w:rsidRDefault="00916180" w:rsidP="00916180">
      <w:pPr>
        <w:rPr>
          <w:rFonts w:ascii="Verdana" w:hAnsi="Verdana"/>
          <w:b/>
          <w:sz w:val="20"/>
          <w:lang w:eastAsia="en-GB"/>
        </w:rPr>
      </w:pPr>
      <w:r w:rsidRPr="003F5D96">
        <w:rPr>
          <w:rFonts w:ascii="Verdana" w:hAnsi="Verdana"/>
          <w:b/>
          <w:sz w:val="20"/>
          <w:lang w:eastAsia="en-GB"/>
        </w:rPr>
        <w:t xml:space="preserve">4 </w:t>
      </w:r>
      <w:proofErr w:type="gramStart"/>
      <w:r w:rsidRPr="003F5D96">
        <w:rPr>
          <w:rFonts w:ascii="Verdana" w:hAnsi="Verdana"/>
          <w:b/>
          <w:sz w:val="20"/>
          <w:lang w:eastAsia="en-GB"/>
        </w:rPr>
        <w:t>RECOMMENDATION</w:t>
      </w:r>
      <w:proofErr w:type="gramEnd"/>
    </w:p>
    <w:p w14:paraId="3BD16638" w14:textId="77777777" w:rsidR="00916180" w:rsidRPr="003F5D96" w:rsidRDefault="00916180" w:rsidP="00916180">
      <w:pPr>
        <w:rPr>
          <w:rFonts w:ascii="Verdana" w:hAnsi="Verdana"/>
          <w:sz w:val="20"/>
          <w:lang w:eastAsia="en-GB"/>
        </w:rPr>
      </w:pPr>
      <w:r w:rsidRPr="003F5D96">
        <w:rPr>
          <w:rFonts w:ascii="Verdana" w:hAnsi="Verdana"/>
          <w:sz w:val="20"/>
          <w:lang w:eastAsia="en-GB"/>
        </w:rPr>
        <w:t>The committee is asked to consider this report and recommend to the Board for approval and publication.</w:t>
      </w:r>
    </w:p>
    <w:p w14:paraId="6B4B41C4" w14:textId="77777777" w:rsidR="00916180" w:rsidRPr="00550B6E" w:rsidRDefault="00916180" w:rsidP="00916180">
      <w:pPr>
        <w:rPr>
          <w:lang w:eastAsia="en-GB"/>
        </w:rPr>
      </w:pPr>
    </w:p>
    <w:p w14:paraId="4126EAB9" w14:textId="77777777" w:rsidR="00916180" w:rsidRPr="001A579A" w:rsidRDefault="00916180" w:rsidP="00916180">
      <w:pPr>
        <w:rPr>
          <w:lang w:eastAsia="en-GB"/>
        </w:rPr>
      </w:pPr>
    </w:p>
    <w:p w14:paraId="0D07920D" w14:textId="77777777" w:rsidR="00916180" w:rsidRPr="001A579A" w:rsidRDefault="00916180" w:rsidP="00916180">
      <w:pPr>
        <w:rPr>
          <w:b/>
          <w:lang w:eastAsia="en-GB"/>
        </w:rPr>
      </w:pPr>
    </w:p>
    <w:p w14:paraId="767AC434" w14:textId="77777777" w:rsidR="00916180" w:rsidRDefault="00916180" w:rsidP="00916180"/>
    <w:p w14:paraId="5EC5E3AB" w14:textId="77777777" w:rsidR="00916180" w:rsidRDefault="00916180" w:rsidP="00916180"/>
    <w:p w14:paraId="7E2D51C3" w14:textId="77777777" w:rsidR="00CC48BE" w:rsidRDefault="00CC48BE"/>
    <w:sectPr w:rsidR="00CC48BE" w:rsidSect="00916180">
      <w:headerReference w:type="even" r:id="rId6"/>
      <w:headerReference w:type="default" r:id="rId7"/>
      <w:footerReference w:type="even" r:id="rId8"/>
      <w:footerReference w:type="default" r:id="rId9"/>
      <w:headerReference w:type="first" r:id="rId10"/>
      <w:footerReference w:type="first" r:id="rId11"/>
      <w:pgSz w:w="11909" w:h="16834" w:code="9"/>
      <w:pgMar w:top="709" w:right="569" w:bottom="284" w:left="709" w:header="709" w:footer="24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Bold">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A5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B93F7" w14:textId="77777777" w:rsidR="00000000" w:rsidRPr="0062588E" w:rsidRDefault="00000000">
    <w:pPr>
      <w:pStyle w:val="Footer"/>
      <w:jc w:val="right"/>
      <w:rPr>
        <w:rFonts w:ascii="Arial" w:hAnsi="Arial" w:cs="Arial"/>
        <w:sz w:val="18"/>
      </w:rPr>
    </w:pPr>
    <w:r w:rsidRPr="0062588E">
      <w:rPr>
        <w:rFonts w:ascii="Arial" w:hAnsi="Arial" w:cs="Arial"/>
        <w:sz w:val="18"/>
      </w:rPr>
      <w:fldChar w:fldCharType="begin"/>
    </w:r>
    <w:r w:rsidRPr="0062588E">
      <w:rPr>
        <w:rFonts w:ascii="Arial" w:hAnsi="Arial" w:cs="Arial"/>
        <w:sz w:val="18"/>
      </w:rPr>
      <w:instrText xml:space="preserve"> PAGE   \* MERGEFORMAT </w:instrText>
    </w:r>
    <w:r w:rsidRPr="0062588E">
      <w:rPr>
        <w:rFonts w:ascii="Arial" w:hAnsi="Arial" w:cs="Arial"/>
        <w:sz w:val="18"/>
      </w:rPr>
      <w:fldChar w:fldCharType="separate"/>
    </w:r>
    <w:r>
      <w:rPr>
        <w:rFonts w:ascii="Arial" w:hAnsi="Arial" w:cs="Arial"/>
        <w:noProof/>
        <w:sz w:val="18"/>
      </w:rPr>
      <w:t>5</w:t>
    </w:r>
    <w:r w:rsidRPr="0062588E">
      <w:rPr>
        <w:rFonts w:ascii="Arial" w:hAnsi="Arial" w:cs="Arial"/>
        <w:noProof/>
        <w:sz w:val="18"/>
      </w:rPr>
      <w:fldChar w:fldCharType="end"/>
    </w:r>
  </w:p>
  <w:p w14:paraId="11283A02" w14:textId="77777777" w:rsidR="00000000" w:rsidRPr="0021456F" w:rsidRDefault="00000000">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68DE"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414F"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0EFE" w14:textId="1F28165D"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DAE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03F07"/>
    <w:multiLevelType w:val="hybridMultilevel"/>
    <w:tmpl w:val="8084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A5F28"/>
    <w:multiLevelType w:val="hybridMultilevel"/>
    <w:tmpl w:val="E306D898"/>
    <w:lvl w:ilvl="0" w:tplc="799CDA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D130F"/>
    <w:multiLevelType w:val="hybridMultilevel"/>
    <w:tmpl w:val="9128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786394">
    <w:abstractNumId w:val="1"/>
  </w:num>
  <w:num w:numId="2" w16cid:durableId="879242592">
    <w:abstractNumId w:val="2"/>
  </w:num>
  <w:num w:numId="3" w16cid:durableId="16111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80"/>
    <w:rsid w:val="005929DB"/>
    <w:rsid w:val="006D2E13"/>
    <w:rsid w:val="00916180"/>
    <w:rsid w:val="00CC48BE"/>
    <w:rsid w:val="00FF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113C"/>
  <w15:chartTrackingRefBased/>
  <w15:docId w15:val="{8570C382-D293-4681-A9A4-A7EA77A3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80"/>
    <w:pPr>
      <w:spacing w:after="0" w:line="240" w:lineRule="auto"/>
    </w:pPr>
    <w:rPr>
      <w:rFonts w:ascii="Arial" w:eastAsia="Times New Roman" w:hAnsi="Arial" w:cs="Times New Roman"/>
      <w:kern w:val="0"/>
      <w:sz w:val="22"/>
      <w:szCs w:val="20"/>
      <w14:ligatures w14:val="none"/>
    </w:rPr>
  </w:style>
  <w:style w:type="paragraph" w:styleId="Heading1">
    <w:name w:val="heading 1"/>
    <w:basedOn w:val="Normal"/>
    <w:next w:val="Normal"/>
    <w:link w:val="Heading1Char"/>
    <w:uiPriority w:val="9"/>
    <w:qFormat/>
    <w:rsid w:val="00916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16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1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1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1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1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16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180"/>
    <w:rPr>
      <w:rFonts w:eastAsiaTheme="majorEastAsia" w:cstheme="majorBidi"/>
      <w:color w:val="272727" w:themeColor="text1" w:themeTint="D8"/>
    </w:rPr>
  </w:style>
  <w:style w:type="paragraph" w:styleId="Title">
    <w:name w:val="Title"/>
    <w:basedOn w:val="Normal"/>
    <w:next w:val="Normal"/>
    <w:link w:val="TitleChar"/>
    <w:uiPriority w:val="10"/>
    <w:qFormat/>
    <w:rsid w:val="009161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180"/>
    <w:pPr>
      <w:spacing w:before="160"/>
      <w:jc w:val="center"/>
    </w:pPr>
    <w:rPr>
      <w:i/>
      <w:iCs/>
      <w:color w:val="404040" w:themeColor="text1" w:themeTint="BF"/>
    </w:rPr>
  </w:style>
  <w:style w:type="character" w:customStyle="1" w:styleId="QuoteChar">
    <w:name w:val="Quote Char"/>
    <w:basedOn w:val="DefaultParagraphFont"/>
    <w:link w:val="Quote"/>
    <w:uiPriority w:val="29"/>
    <w:rsid w:val="00916180"/>
    <w:rPr>
      <w:i/>
      <w:iCs/>
      <w:color w:val="404040" w:themeColor="text1" w:themeTint="BF"/>
    </w:rPr>
  </w:style>
  <w:style w:type="paragraph" w:styleId="ListParagraph">
    <w:name w:val="List Paragraph"/>
    <w:basedOn w:val="Normal"/>
    <w:uiPriority w:val="34"/>
    <w:qFormat/>
    <w:rsid w:val="00916180"/>
    <w:pPr>
      <w:ind w:left="720"/>
      <w:contextualSpacing/>
    </w:pPr>
  </w:style>
  <w:style w:type="character" w:styleId="IntenseEmphasis">
    <w:name w:val="Intense Emphasis"/>
    <w:basedOn w:val="DefaultParagraphFont"/>
    <w:uiPriority w:val="21"/>
    <w:qFormat/>
    <w:rsid w:val="00916180"/>
    <w:rPr>
      <w:i/>
      <w:iCs/>
      <w:color w:val="0F4761" w:themeColor="accent1" w:themeShade="BF"/>
    </w:rPr>
  </w:style>
  <w:style w:type="paragraph" w:styleId="IntenseQuote">
    <w:name w:val="Intense Quote"/>
    <w:basedOn w:val="Normal"/>
    <w:next w:val="Normal"/>
    <w:link w:val="IntenseQuoteChar"/>
    <w:uiPriority w:val="30"/>
    <w:qFormat/>
    <w:rsid w:val="00916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180"/>
    <w:rPr>
      <w:i/>
      <w:iCs/>
      <w:color w:val="0F4761" w:themeColor="accent1" w:themeShade="BF"/>
    </w:rPr>
  </w:style>
  <w:style w:type="character" w:styleId="IntenseReference">
    <w:name w:val="Intense Reference"/>
    <w:basedOn w:val="DefaultParagraphFont"/>
    <w:uiPriority w:val="32"/>
    <w:qFormat/>
    <w:rsid w:val="00916180"/>
    <w:rPr>
      <w:b/>
      <w:bCs/>
      <w:smallCaps/>
      <w:color w:val="0F4761" w:themeColor="accent1" w:themeShade="BF"/>
      <w:spacing w:val="5"/>
    </w:rPr>
  </w:style>
  <w:style w:type="paragraph" w:styleId="Header">
    <w:name w:val="header"/>
    <w:basedOn w:val="Normal"/>
    <w:link w:val="HeaderChar"/>
    <w:rsid w:val="00916180"/>
    <w:pPr>
      <w:tabs>
        <w:tab w:val="center" w:pos="4153"/>
        <w:tab w:val="right" w:pos="8306"/>
      </w:tabs>
    </w:pPr>
  </w:style>
  <w:style w:type="character" w:customStyle="1" w:styleId="HeaderChar">
    <w:name w:val="Header Char"/>
    <w:basedOn w:val="DefaultParagraphFont"/>
    <w:link w:val="Header"/>
    <w:rsid w:val="00916180"/>
    <w:rPr>
      <w:rFonts w:ascii="Arial" w:eastAsia="Times New Roman" w:hAnsi="Arial" w:cs="Times New Roman"/>
      <w:kern w:val="0"/>
      <w:sz w:val="22"/>
      <w:szCs w:val="20"/>
      <w14:ligatures w14:val="none"/>
    </w:rPr>
  </w:style>
  <w:style w:type="paragraph" w:styleId="Footer">
    <w:name w:val="footer"/>
    <w:basedOn w:val="Normal"/>
    <w:link w:val="FooterChar"/>
    <w:uiPriority w:val="99"/>
    <w:rsid w:val="0091618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916180"/>
    <w:rPr>
      <w:rFonts w:ascii="Times New Roman" w:eastAsia="Times New Roman" w:hAnsi="Times New Roman" w:cs="Times New Roman"/>
      <w:kern w:val="0"/>
      <w:szCs w:val="20"/>
      <w14:ligatures w14:val="none"/>
    </w:rPr>
  </w:style>
  <w:style w:type="character" w:customStyle="1" w:styleId="normaltextrun">
    <w:name w:val="normaltextrun"/>
    <w:rsid w:val="0091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emf"/><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Wright</dc:creator>
  <cp:keywords/>
  <dc:description/>
  <cp:lastModifiedBy>Elsa Wright</cp:lastModifiedBy>
  <cp:revision>2</cp:revision>
  <dcterms:created xsi:type="dcterms:W3CDTF">2025-01-08T16:23:00Z</dcterms:created>
  <dcterms:modified xsi:type="dcterms:W3CDTF">2025-01-08T16:29:00Z</dcterms:modified>
</cp:coreProperties>
</file>